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21B7" w14:textId="77777777" w:rsidR="00FE007B" w:rsidRPr="00DF68FA" w:rsidRDefault="00FE007B">
      <w:pPr>
        <w:pStyle w:val="MarginText"/>
        <w:jc w:val="center"/>
        <w:rPr>
          <w:b/>
          <w:sz w:val="44"/>
          <w:szCs w:val="44"/>
        </w:rPr>
      </w:pPr>
      <w:r w:rsidRPr="00DF68FA">
        <w:rPr>
          <w:b/>
          <w:sz w:val="44"/>
          <w:szCs w:val="44"/>
        </w:rPr>
        <w:t>EFET</w:t>
      </w:r>
    </w:p>
    <w:p w14:paraId="4C432D11" w14:textId="77777777" w:rsidR="00FE007B" w:rsidRPr="00DF68FA" w:rsidRDefault="00FE007B">
      <w:pPr>
        <w:pStyle w:val="MarginText"/>
        <w:jc w:val="center"/>
        <w:rPr>
          <w:b/>
          <w:sz w:val="36"/>
          <w:szCs w:val="36"/>
        </w:rPr>
      </w:pPr>
      <w:r w:rsidRPr="00DF68FA">
        <w:rPr>
          <w:b/>
          <w:sz w:val="36"/>
          <w:szCs w:val="36"/>
        </w:rPr>
        <w:t>European Federation of Energy Traders</w:t>
      </w:r>
    </w:p>
    <w:p w14:paraId="43D518BB" w14:textId="77777777" w:rsidR="00FE007B" w:rsidRPr="002940FE" w:rsidRDefault="00FE007B">
      <w:pPr>
        <w:pStyle w:val="MarginText"/>
        <w:jc w:val="center"/>
        <w:rPr>
          <w:lang w:val="en-US"/>
        </w:rPr>
      </w:pPr>
      <w:r w:rsidRPr="002940FE">
        <w:rPr>
          <w:lang w:val="en-US"/>
        </w:rPr>
        <w:t xml:space="preserve">E-mail: secretariat@efet.org </w:t>
      </w:r>
    </w:p>
    <w:p w14:paraId="61228FFA" w14:textId="090C2F06" w:rsidR="00FE007B" w:rsidRPr="002940FE" w:rsidRDefault="00FE007B">
      <w:pPr>
        <w:pStyle w:val="MarginText"/>
        <w:jc w:val="center"/>
        <w:rPr>
          <w:lang w:val="en-US"/>
        </w:rPr>
      </w:pPr>
      <w:r w:rsidRPr="002940FE">
        <w:rPr>
          <w:lang w:val="en-US"/>
        </w:rPr>
        <w:t xml:space="preserve">Webpage: www.efet.org </w:t>
      </w:r>
    </w:p>
    <w:p w14:paraId="33749F78" w14:textId="1C169178" w:rsidR="00957F04" w:rsidRPr="002940FE" w:rsidRDefault="00957F04">
      <w:pPr>
        <w:pStyle w:val="MarginText"/>
        <w:jc w:val="center"/>
        <w:rPr>
          <w:lang w:val="en-US"/>
        </w:rPr>
      </w:pPr>
    </w:p>
    <w:p w14:paraId="28D75806" w14:textId="6858B731" w:rsidR="00957F04" w:rsidRPr="002940FE" w:rsidRDefault="00957F04">
      <w:pPr>
        <w:pStyle w:val="MarginText"/>
        <w:jc w:val="center"/>
        <w:rPr>
          <w:lang w:val="en-US"/>
        </w:rPr>
      </w:pPr>
    </w:p>
    <w:p w14:paraId="7C1955B6" w14:textId="77777777" w:rsidR="00957F04" w:rsidRPr="002940FE" w:rsidRDefault="00957F04">
      <w:pPr>
        <w:pStyle w:val="MarginText"/>
        <w:jc w:val="center"/>
        <w:rPr>
          <w:b/>
          <w:sz w:val="44"/>
          <w:szCs w:val="44"/>
          <w:lang w:val="en-US"/>
        </w:rPr>
      </w:pPr>
    </w:p>
    <w:p w14:paraId="57588110" w14:textId="753B397D" w:rsidR="00957F04" w:rsidRDefault="00957F04">
      <w:pPr>
        <w:pStyle w:val="MarginText"/>
        <w:jc w:val="center"/>
        <w:rPr>
          <w:b/>
          <w:sz w:val="44"/>
          <w:szCs w:val="44"/>
        </w:rPr>
      </w:pPr>
      <w:r w:rsidRPr="00C349BD">
        <w:rPr>
          <w:b/>
          <w:sz w:val="44"/>
          <w:szCs w:val="44"/>
        </w:rPr>
        <w:t>Biogas Certificates Standard Agreement</w:t>
      </w:r>
    </w:p>
    <w:p w14:paraId="73844977" w14:textId="795C1A53" w:rsidR="00957F04" w:rsidRDefault="00957F04">
      <w:pPr>
        <w:pStyle w:val="MarginText"/>
        <w:jc w:val="center"/>
        <w:rPr>
          <w:b/>
          <w:sz w:val="44"/>
          <w:szCs w:val="44"/>
        </w:rPr>
      </w:pPr>
      <w:r w:rsidRPr="00C349BD">
        <w:rPr>
          <w:b/>
          <w:sz w:val="44"/>
          <w:szCs w:val="44"/>
        </w:rPr>
        <w:t>for Single Trade</w:t>
      </w:r>
    </w:p>
    <w:p w14:paraId="1FACB90F" w14:textId="77777777" w:rsidR="00505402" w:rsidRPr="00C349BD" w:rsidRDefault="00505402">
      <w:pPr>
        <w:pStyle w:val="MarginText"/>
        <w:jc w:val="center"/>
        <w:rPr>
          <w:sz w:val="32"/>
          <w:szCs w:val="32"/>
        </w:rPr>
      </w:pPr>
    </w:p>
    <w:p w14:paraId="05FA660E" w14:textId="765D967E" w:rsidR="00FE007B" w:rsidRPr="00DF68FA" w:rsidRDefault="00FE007B">
      <w:pPr>
        <w:pStyle w:val="MarginText"/>
        <w:rPr>
          <w:b/>
        </w:rPr>
      </w:pPr>
      <w:r w:rsidRPr="00DF68FA">
        <w:rPr>
          <w:b/>
          <w:u w:val="single"/>
        </w:rPr>
        <w:t>WAIVER:</w:t>
      </w:r>
      <w:r w:rsidRPr="00DF68FA">
        <w:rPr>
          <w:b/>
        </w:rPr>
        <w:t xml:space="preserve"> THE FOLLOWING </w:t>
      </w:r>
      <w:r w:rsidR="004475F1">
        <w:rPr>
          <w:b/>
        </w:rPr>
        <w:t>BIOGAS CERTIFICATES STANDARD AGREEMENT FOR SINGLE TRADE</w:t>
      </w:r>
      <w:r w:rsidRPr="00DF68FA">
        <w:rPr>
          <w:b/>
        </w:rPr>
        <w:t xml:space="preserve"> WAS PREPARED BY EFET'S MEMBERS EXERCISING ALL REASONABLE CARE. HOWEVER, EFET, THE EFET MEMBERS,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w:t>
      </w:r>
      <w:r w:rsidR="00957F04">
        <w:rPr>
          <w:b/>
        </w:rPr>
        <w:t>BIOGAS CERTIFICATES STANDARD AGREEMENT FOR SINGLE TRADE</w:t>
      </w:r>
      <w:r w:rsidR="00957F04" w:rsidRPr="00DF68FA">
        <w:rPr>
          <w:b/>
        </w:rPr>
        <w:t xml:space="preserve"> </w:t>
      </w:r>
      <w:r w:rsidRPr="00DF68FA">
        <w:rPr>
          <w:b/>
        </w:rPr>
        <w:t xml:space="preserve">TO ENSURE THAT ITS TERMS AND CONDITIONS ARE LEGALLY BINDING, VALID AND ENFORCEABLE AND BEST SERVE TO PROTECT THE USER'S LEGAL INTEREST. USERS OF THIS </w:t>
      </w:r>
      <w:r w:rsidR="00957F04">
        <w:rPr>
          <w:b/>
        </w:rPr>
        <w:t>BIOGAS CERTIFICATES STANDARD AGREEMENT FOR SINGLE TRADE</w:t>
      </w:r>
      <w:r w:rsidR="00957F04" w:rsidRPr="00DF68FA">
        <w:rPr>
          <w:b/>
        </w:rPr>
        <w:t xml:space="preserve"> </w:t>
      </w:r>
      <w:r w:rsidRPr="00DF68FA">
        <w:rPr>
          <w:b/>
        </w:rPr>
        <w:t>ARE URGED TO CONSULT RELEVANT LEGAL OPINIONS MADE AVAILABLE THROUGH EFET AS WELL AS THEIR OWN COUNSEL.</w:t>
      </w:r>
    </w:p>
    <w:p w14:paraId="7229E0B4" w14:textId="12829E8B" w:rsidR="00FE007B" w:rsidRPr="00666734" w:rsidRDefault="00957F04">
      <w:pPr>
        <w:pStyle w:val="MarginText"/>
        <w:rPr>
          <w:b/>
        </w:rPr>
      </w:pPr>
      <w:r w:rsidRPr="000C62BB">
        <w:rPr>
          <w:b/>
        </w:rPr>
        <w:t>USERS</w:t>
      </w:r>
      <w:r w:rsidR="00FE007B" w:rsidRPr="000C62BB">
        <w:rPr>
          <w:b/>
        </w:rPr>
        <w:t xml:space="preserve"> ARE REFERRED TO THE </w:t>
      </w:r>
      <w:r w:rsidRPr="000C62BB">
        <w:rPr>
          <w:b/>
        </w:rPr>
        <w:t xml:space="preserve">GUIDANCE </w:t>
      </w:r>
      <w:r w:rsidR="00FE007B" w:rsidRPr="000C62BB">
        <w:rPr>
          <w:b/>
        </w:rPr>
        <w:t xml:space="preserve">NOTE TO THIS </w:t>
      </w:r>
      <w:r w:rsidRPr="000C62BB">
        <w:rPr>
          <w:b/>
        </w:rPr>
        <w:t xml:space="preserve">BIOGAS CERTIFICATES STANDARD AGREEMENT FOR SINGLE TRADE </w:t>
      </w:r>
      <w:r w:rsidR="00FE007B" w:rsidRPr="000C62BB">
        <w:rPr>
          <w:b/>
        </w:rPr>
        <w:t xml:space="preserve">AVAILABLE ON THE EFET </w:t>
      </w:r>
      <w:r w:rsidRPr="000C62BB">
        <w:rPr>
          <w:b/>
        </w:rPr>
        <w:t xml:space="preserve">AND CEGH </w:t>
      </w:r>
      <w:r w:rsidR="00FE007B" w:rsidRPr="000C62BB">
        <w:rPr>
          <w:b/>
        </w:rPr>
        <w:t>WEBSITE.</w:t>
      </w:r>
    </w:p>
    <w:p w14:paraId="4B9E4D61" w14:textId="7179B196" w:rsidR="00957F04" w:rsidRDefault="00FE007B">
      <w:pPr>
        <w:pStyle w:val="MarginText"/>
      </w:pPr>
      <w:r w:rsidRPr="00DF68FA">
        <w:t>_______________________________________________________________________________________</w:t>
      </w:r>
      <w:r w:rsidR="00C94C2E">
        <w:t>___</w:t>
      </w:r>
    </w:p>
    <w:p w14:paraId="649EC85E" w14:textId="77777777" w:rsidR="00957F04" w:rsidRDefault="00957F04">
      <w:pPr>
        <w:rPr>
          <w:rFonts w:eastAsia="STZhongsong"/>
          <w:kern w:val="28"/>
          <w:sz w:val="20"/>
          <w:szCs w:val="20"/>
        </w:rPr>
      </w:pPr>
      <w:r>
        <w:br w:type="page"/>
      </w:r>
    </w:p>
    <w:p w14:paraId="418048E8" w14:textId="77777777" w:rsidR="00FE007B" w:rsidRPr="00DF68FA" w:rsidRDefault="00FE007B">
      <w:pPr>
        <w:pStyle w:val="MarginText"/>
      </w:pPr>
    </w:p>
    <w:p w14:paraId="130B62F9" w14:textId="46F30587" w:rsidR="00FE007B" w:rsidRPr="00C349BD" w:rsidRDefault="004475F1">
      <w:pPr>
        <w:pStyle w:val="MarginText"/>
        <w:spacing w:after="120"/>
        <w:jc w:val="center"/>
        <w:rPr>
          <w:b/>
          <w:sz w:val="32"/>
          <w:szCs w:val="32"/>
        </w:rPr>
      </w:pPr>
      <w:r w:rsidRPr="00C349BD">
        <w:rPr>
          <w:b/>
          <w:sz w:val="32"/>
          <w:szCs w:val="32"/>
        </w:rPr>
        <w:t>Biogas Certificates Standard Agreement for Single Trade</w:t>
      </w:r>
    </w:p>
    <w:p w14:paraId="72A05A5C" w14:textId="77777777" w:rsidR="00CA5C32" w:rsidRDefault="00CA5C32">
      <w:pPr>
        <w:pStyle w:val="MarginText"/>
        <w:spacing w:before="120" w:after="120"/>
      </w:pPr>
    </w:p>
    <w:p w14:paraId="36E0B10A" w14:textId="739F3222" w:rsidR="00FE007B" w:rsidRPr="00DF68FA" w:rsidRDefault="00FE007B">
      <w:pPr>
        <w:pStyle w:val="MarginText"/>
        <w:spacing w:before="120" w:after="120"/>
      </w:pPr>
      <w:r w:rsidRPr="00DF68FA">
        <w:t>Between</w:t>
      </w:r>
    </w:p>
    <w:p w14:paraId="64F4AA84" w14:textId="2584A6FD" w:rsidR="00FE007B" w:rsidRPr="00DF68FA" w:rsidRDefault="00FE007B">
      <w:pPr>
        <w:pStyle w:val="MarginText"/>
        <w:spacing w:before="120" w:after="120"/>
      </w:pPr>
      <w:r w:rsidRPr="00DF68FA">
        <w:t>_______________________________________________________________________________________</w:t>
      </w:r>
      <w:r w:rsidR="00C94C2E">
        <w:t>___</w:t>
      </w:r>
    </w:p>
    <w:p w14:paraId="193E7AA6" w14:textId="649C9551" w:rsidR="00FE007B" w:rsidRPr="00DF68FA" w:rsidRDefault="00FE007B">
      <w:pPr>
        <w:pStyle w:val="MarginText"/>
        <w:spacing w:before="120" w:after="120"/>
      </w:pPr>
      <w:r w:rsidRPr="00DF68FA">
        <w:t>having its registered office at _______________________________________________________________</w:t>
      </w:r>
      <w:r w:rsidR="00C94C2E">
        <w:t>___</w:t>
      </w:r>
    </w:p>
    <w:p w14:paraId="0CF3ECFA" w14:textId="43ACF9B3" w:rsidR="00FE007B" w:rsidRPr="00DF68FA" w:rsidRDefault="00FE007B">
      <w:pPr>
        <w:pStyle w:val="MarginText"/>
        <w:spacing w:before="120" w:after="120"/>
      </w:pPr>
      <w:r w:rsidRPr="00DF68FA">
        <w:t>_______________________________________________________________________________________</w:t>
      </w:r>
      <w:r w:rsidR="00C94C2E">
        <w:t>___</w:t>
      </w:r>
    </w:p>
    <w:p w14:paraId="04D6EEEB" w14:textId="37D8A279" w:rsidR="00FE007B" w:rsidRPr="00DF68FA" w:rsidRDefault="00FE007B">
      <w:pPr>
        <w:pStyle w:val="MarginText"/>
        <w:spacing w:before="120" w:after="120"/>
        <w:rPr>
          <w:b/>
        </w:rPr>
      </w:pPr>
      <w:r w:rsidRPr="00DF68FA">
        <w:t>(</w:t>
      </w:r>
      <w:r w:rsidR="00FD26A6">
        <w:rPr>
          <w:b/>
        </w:rPr>
        <w:t>"</w:t>
      </w:r>
      <w:r w:rsidR="00753390" w:rsidRPr="00753390">
        <w:rPr>
          <w:b/>
          <w:iCs/>
        </w:rPr>
        <w:t>Seller</w:t>
      </w:r>
      <w:r w:rsidR="00FD26A6">
        <w:rPr>
          <w:b/>
        </w:rPr>
        <w:t>"</w:t>
      </w:r>
      <w:r w:rsidRPr="00DF68FA">
        <w:t>)</w:t>
      </w:r>
    </w:p>
    <w:p w14:paraId="44985469" w14:textId="77777777" w:rsidR="00FE007B" w:rsidRPr="00DF68FA" w:rsidRDefault="00FE007B">
      <w:pPr>
        <w:pStyle w:val="MarginText"/>
        <w:spacing w:before="120" w:after="120"/>
      </w:pPr>
      <w:r w:rsidRPr="00DF68FA">
        <w:t>and</w:t>
      </w:r>
    </w:p>
    <w:p w14:paraId="22EB0BF9" w14:textId="1741E040" w:rsidR="00FE007B" w:rsidRPr="00DF68FA" w:rsidRDefault="00FE007B">
      <w:pPr>
        <w:pStyle w:val="MarginText"/>
        <w:spacing w:before="120" w:after="120"/>
      </w:pPr>
      <w:r w:rsidRPr="00DF68FA">
        <w:t>_______________________________________________________________________________________</w:t>
      </w:r>
      <w:r w:rsidR="00C94C2E">
        <w:t>___</w:t>
      </w:r>
    </w:p>
    <w:p w14:paraId="2E372267" w14:textId="53EB9E13" w:rsidR="00FE007B" w:rsidRPr="00DF68FA" w:rsidRDefault="00FE007B">
      <w:pPr>
        <w:pStyle w:val="MarginText"/>
        <w:spacing w:before="120" w:after="120"/>
      </w:pPr>
      <w:r w:rsidRPr="00DF68FA">
        <w:t>having its registered office at _______________________________________________________________</w:t>
      </w:r>
      <w:r w:rsidR="00C94C2E">
        <w:t>___</w:t>
      </w:r>
    </w:p>
    <w:p w14:paraId="142FA62F" w14:textId="0D3EDACC" w:rsidR="00FE007B" w:rsidRPr="00DF68FA" w:rsidRDefault="00FE007B">
      <w:pPr>
        <w:pStyle w:val="MarginText"/>
        <w:spacing w:before="120" w:after="120"/>
      </w:pPr>
      <w:r w:rsidRPr="00DF68FA">
        <w:t>_______________________________________________________________________________________</w:t>
      </w:r>
      <w:r w:rsidR="00C94C2E">
        <w:t>___</w:t>
      </w:r>
    </w:p>
    <w:p w14:paraId="0307079C" w14:textId="7B58DE9A" w:rsidR="00FE007B" w:rsidRPr="00DF68FA" w:rsidRDefault="00FE007B">
      <w:pPr>
        <w:pStyle w:val="MarginText"/>
        <w:spacing w:before="120" w:after="120"/>
        <w:rPr>
          <w:b/>
        </w:rPr>
      </w:pPr>
      <w:r w:rsidRPr="00DF68FA">
        <w:t>(</w:t>
      </w:r>
      <w:r w:rsidR="00FD26A6">
        <w:rPr>
          <w:b/>
        </w:rPr>
        <w:t>"</w:t>
      </w:r>
      <w:r w:rsidR="00753390" w:rsidRPr="00753390">
        <w:rPr>
          <w:b/>
          <w:iCs/>
        </w:rPr>
        <w:t>Buyer</w:t>
      </w:r>
      <w:r w:rsidR="00FD26A6">
        <w:rPr>
          <w:b/>
        </w:rPr>
        <w:t>"</w:t>
      </w:r>
      <w:r w:rsidRPr="00DF68FA">
        <w:t>)</w:t>
      </w:r>
    </w:p>
    <w:p w14:paraId="3FBB976E" w14:textId="77777777" w:rsidR="00FE007B" w:rsidRPr="00DF68FA" w:rsidRDefault="00FE007B">
      <w:pPr>
        <w:pStyle w:val="MarginText"/>
        <w:spacing w:before="120" w:after="120"/>
      </w:pPr>
      <w:r w:rsidRPr="00DF68FA">
        <w:t xml:space="preserve">(referred to jointly as the </w:t>
      </w:r>
      <w:r w:rsidR="00FD26A6">
        <w:rPr>
          <w:b/>
        </w:rPr>
        <w:t>"</w:t>
      </w:r>
      <w:r w:rsidRPr="00DF68FA">
        <w:rPr>
          <w:b/>
        </w:rPr>
        <w:t>Parties</w:t>
      </w:r>
      <w:r w:rsidR="00FD26A6">
        <w:rPr>
          <w:b/>
        </w:rPr>
        <w:t>"</w:t>
      </w:r>
      <w:r w:rsidRPr="00DF68FA">
        <w:t xml:space="preserve"> and individually as a </w:t>
      </w:r>
      <w:r w:rsidR="00FD26A6">
        <w:rPr>
          <w:b/>
        </w:rPr>
        <w:t>"</w:t>
      </w:r>
      <w:r w:rsidRPr="00DF68FA">
        <w:rPr>
          <w:b/>
        </w:rPr>
        <w:t>Party</w:t>
      </w:r>
      <w:r w:rsidR="00FD26A6">
        <w:rPr>
          <w:b/>
        </w:rPr>
        <w:t>"</w:t>
      </w:r>
      <w:r w:rsidRPr="00DF68FA">
        <w:t>)</w:t>
      </w:r>
    </w:p>
    <w:p w14:paraId="1AAD33CD" w14:textId="77777777" w:rsidR="00FE007B" w:rsidRPr="00DF68FA" w:rsidRDefault="00FE007B">
      <w:pPr>
        <w:pStyle w:val="MarginText"/>
        <w:spacing w:before="120" w:after="120"/>
      </w:pPr>
      <w:r w:rsidRPr="00DF68FA">
        <w:t>entered into on _________________________________________ (</w:t>
      </w:r>
      <w:r w:rsidR="00FD26A6">
        <w:rPr>
          <w:b/>
        </w:rPr>
        <w:t>"</w:t>
      </w:r>
      <w:r w:rsidRPr="00DF68FA">
        <w:rPr>
          <w:b/>
        </w:rPr>
        <w:t>Effective Date</w:t>
      </w:r>
      <w:r w:rsidR="00FD26A6">
        <w:rPr>
          <w:b/>
        </w:rPr>
        <w:t>"</w:t>
      </w:r>
      <w:r w:rsidRPr="00DF68FA">
        <w:t>).</w:t>
      </w:r>
    </w:p>
    <w:p w14:paraId="01A90BFB" w14:textId="77777777" w:rsidR="00FE007B" w:rsidRPr="00DF68FA" w:rsidRDefault="00FE007B">
      <w:pPr>
        <w:pStyle w:val="MarginText"/>
      </w:pPr>
    </w:p>
    <w:p w14:paraId="2D206A79" w14:textId="77777777" w:rsidR="00CA5C32" w:rsidRDefault="00CA5C32">
      <w:pPr>
        <w:sectPr w:rsidR="00CA5C32">
          <w:headerReference w:type="default" r:id="rId9"/>
          <w:footerReference w:type="even" r:id="rId10"/>
          <w:footerReference w:type="default" r:id="rId11"/>
          <w:headerReference w:type="first" r:id="rId12"/>
          <w:footerReference w:type="first" r:id="rId13"/>
          <w:endnotePr>
            <w:numFmt w:val="decimal"/>
          </w:endnotePr>
          <w:pgSz w:w="11909" w:h="16834"/>
          <w:pgMar w:top="1440" w:right="1440" w:bottom="1797" w:left="1440" w:header="720" w:footer="720" w:gutter="0"/>
          <w:pgNumType w:start="1"/>
          <w:cols w:space="720"/>
          <w:titlePg/>
        </w:sectPr>
      </w:pPr>
    </w:p>
    <w:p w14:paraId="57FF1015" w14:textId="343DE194" w:rsidR="00CA5C32" w:rsidRPr="00C349BD" w:rsidRDefault="00CA5C32" w:rsidP="00C349BD">
      <w:pPr>
        <w:pStyle w:val="Title"/>
        <w:rPr>
          <w:rFonts w:ascii="Times New Roman" w:hAnsi="Times New Roman"/>
        </w:rPr>
      </w:pPr>
      <w:r w:rsidRPr="00C349BD">
        <w:rPr>
          <w:rFonts w:ascii="Times New Roman" w:hAnsi="Times New Roman"/>
        </w:rPr>
        <w:lastRenderedPageBreak/>
        <w:t>PART I – Individual Terms</w:t>
      </w:r>
      <w:r w:rsidR="007A7EB3">
        <w:rPr>
          <w:rFonts w:ascii="Times New Roman" w:hAnsi="Times New Roman"/>
        </w:rPr>
        <w:br/>
      </w:r>
      <w:r w:rsidRPr="00C349BD">
        <w:rPr>
          <w:rFonts w:ascii="Times New Roman" w:hAnsi="Times New Roman"/>
        </w:rPr>
        <w:t>of the Biogas Certificates Standard Agreement for Single Trade</w:t>
      </w:r>
    </w:p>
    <w:p w14:paraId="5D0344F0" w14:textId="77777777" w:rsidR="00CA5C32" w:rsidRPr="00C349BD" w:rsidRDefault="00CA5C32" w:rsidP="00CA5C32">
      <w:pPr>
        <w:pStyle w:val="MarginText"/>
        <w:jc w:val="center"/>
        <w:rPr>
          <w:b/>
          <w:sz w:val="28"/>
          <w:szCs w:val="28"/>
        </w:rPr>
      </w:pPr>
    </w:p>
    <w:tbl>
      <w:tblPr>
        <w:tblStyle w:val="TableGrid"/>
        <w:tblW w:w="0" w:type="auto"/>
        <w:jc w:val="center"/>
        <w:shd w:val="clear" w:color="auto" w:fill="E7E6E6" w:themeFill="background2"/>
        <w:tblLook w:val="04A0" w:firstRow="1" w:lastRow="0" w:firstColumn="1" w:lastColumn="0" w:noHBand="0" w:noVBand="1"/>
      </w:tblPr>
      <w:tblGrid>
        <w:gridCol w:w="9019"/>
      </w:tblGrid>
      <w:tr w:rsidR="007F1A0E" w14:paraId="7DED8DE2" w14:textId="77777777" w:rsidTr="007F1A0E">
        <w:trPr>
          <w:jc w:val="center"/>
        </w:trPr>
        <w:tc>
          <w:tcPr>
            <w:tcW w:w="9019" w:type="dxa"/>
            <w:shd w:val="clear" w:color="auto" w:fill="E7E6E6" w:themeFill="background2"/>
            <w:vAlign w:val="center"/>
          </w:tcPr>
          <w:p w14:paraId="60ECF7DC" w14:textId="218DB6E8" w:rsidR="007F1A0E" w:rsidRDefault="007F1A0E" w:rsidP="007F1A0E">
            <w:pPr>
              <w:pStyle w:val="MarginText"/>
              <w:spacing w:after="0"/>
              <w:jc w:val="center"/>
              <w:rPr>
                <w:b/>
              </w:rPr>
            </w:pPr>
            <w:r>
              <w:rPr>
                <w:b/>
              </w:rPr>
              <w:t>SECTION</w:t>
            </w:r>
            <w:r w:rsidRPr="00DF68FA">
              <w:rPr>
                <w:b/>
              </w:rPr>
              <w:t xml:space="preserve"> </w:t>
            </w:r>
            <w:r>
              <w:rPr>
                <w:b/>
              </w:rPr>
              <w:t>A</w:t>
            </w:r>
            <w:r w:rsidRPr="00DF68FA">
              <w:rPr>
                <w:b/>
              </w:rPr>
              <w:t xml:space="preserve">: </w:t>
            </w:r>
            <w:r>
              <w:rPr>
                <w:b/>
              </w:rPr>
              <w:t>COMMERCIAL PROVISIONS</w:t>
            </w:r>
          </w:p>
        </w:tc>
      </w:tr>
    </w:tbl>
    <w:p w14:paraId="7A110D6B" w14:textId="2C98CAB8" w:rsidR="004F624A" w:rsidRDefault="004746B8" w:rsidP="00CA5C32">
      <w:pPr>
        <w:pStyle w:val="MarginText"/>
        <w:jc w:val="center"/>
        <w:rPr>
          <w:b/>
        </w:rPr>
      </w:pPr>
      <w:r>
        <w:rPr>
          <w:b/>
        </w:rPr>
        <w:br/>
      </w:r>
    </w:p>
    <w:tbl>
      <w:tblPr>
        <w:tblW w:w="9029" w:type="dxa"/>
        <w:tblLook w:val="04A0" w:firstRow="1" w:lastRow="0" w:firstColumn="1" w:lastColumn="0" w:noHBand="0" w:noVBand="1"/>
      </w:tblPr>
      <w:tblGrid>
        <w:gridCol w:w="2127"/>
        <w:gridCol w:w="1275"/>
        <w:gridCol w:w="5627"/>
      </w:tblGrid>
      <w:tr w:rsidR="00ED78CD" w14:paraId="650E86B4" w14:textId="77777777" w:rsidTr="00072FD3">
        <w:tc>
          <w:tcPr>
            <w:tcW w:w="9029" w:type="dxa"/>
            <w:gridSpan w:val="3"/>
            <w:tcBorders>
              <w:top w:val="single" w:sz="4" w:space="0" w:color="auto"/>
              <w:bottom w:val="single" w:sz="4" w:space="0" w:color="auto"/>
            </w:tcBorders>
          </w:tcPr>
          <w:p w14:paraId="331C7057" w14:textId="56CD7C9B" w:rsidR="00ED78CD" w:rsidRPr="00DF68FA" w:rsidRDefault="00ED78CD" w:rsidP="00FA659F">
            <w:pPr>
              <w:pStyle w:val="MarginText"/>
              <w:overflowPunct w:val="0"/>
              <w:autoSpaceDE w:val="0"/>
              <w:autoSpaceDN w:val="0"/>
              <w:spacing w:before="20" w:after="20"/>
              <w:textAlignment w:val="baseline"/>
              <w:rPr>
                <w:rFonts w:eastAsia="Garamond"/>
                <w:b/>
                <w:i/>
              </w:rPr>
            </w:pPr>
            <w:r>
              <w:rPr>
                <w:rFonts w:eastAsia="Garamond"/>
                <w:b/>
                <w:i/>
              </w:rPr>
              <w:t>General information</w:t>
            </w:r>
          </w:p>
        </w:tc>
      </w:tr>
      <w:tr w:rsidR="00ED78CD" w:rsidRPr="00DF68FA" w14:paraId="7CE6EFC8" w14:textId="77777777" w:rsidTr="00B84DEC">
        <w:tblPrEx>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Ex>
        <w:trPr>
          <w:cantSplit/>
          <w:trHeight w:val="264"/>
        </w:trPr>
        <w:tc>
          <w:tcPr>
            <w:tcW w:w="2127" w:type="dxa"/>
          </w:tcPr>
          <w:p w14:paraId="748B3693" w14:textId="7CCC630E" w:rsidR="00ED78CD" w:rsidRPr="00DF68FA" w:rsidRDefault="00ED78CD" w:rsidP="00067634">
            <w:pPr>
              <w:pStyle w:val="Header"/>
              <w:rPr>
                <w:b/>
                <w:sz w:val="20"/>
                <w:szCs w:val="20"/>
              </w:rPr>
            </w:pPr>
            <w:r>
              <w:rPr>
                <w:b/>
                <w:sz w:val="20"/>
                <w:szCs w:val="20"/>
              </w:rPr>
              <w:t>Certificates</w:t>
            </w:r>
            <w:r w:rsidRPr="00DF68FA">
              <w:rPr>
                <w:b/>
                <w:sz w:val="20"/>
                <w:szCs w:val="20"/>
              </w:rPr>
              <w:t xml:space="preserve"> data:</w:t>
            </w:r>
          </w:p>
        </w:tc>
        <w:tc>
          <w:tcPr>
            <w:tcW w:w="1275" w:type="dxa"/>
          </w:tcPr>
          <w:p w14:paraId="2280CBE3" w14:textId="4DE20B5C" w:rsidR="00ED78CD" w:rsidRDefault="00ED78CD" w:rsidP="00067634">
            <w:pPr>
              <w:pStyle w:val="Header"/>
              <w:rPr>
                <w:sz w:val="20"/>
                <w:szCs w:val="20"/>
              </w:rPr>
            </w:pPr>
            <w:r>
              <w:rPr>
                <w:sz w:val="20"/>
                <w:szCs w:val="20"/>
              </w:rPr>
              <w:t>Seller:</w:t>
            </w:r>
          </w:p>
        </w:tc>
        <w:tc>
          <w:tcPr>
            <w:tcW w:w="5627" w:type="dxa"/>
            <w:shd w:val="clear" w:color="auto" w:fill="auto"/>
          </w:tcPr>
          <w:p w14:paraId="670B6EB4" w14:textId="48010978" w:rsidR="00ED78CD" w:rsidRDefault="00ED78CD" w:rsidP="00067634">
            <w:pPr>
              <w:pStyle w:val="Header"/>
              <w:rPr>
                <w:sz w:val="20"/>
                <w:szCs w:val="20"/>
              </w:rPr>
            </w:pPr>
            <w:r>
              <w:rPr>
                <w:sz w:val="20"/>
                <w:szCs w:val="20"/>
              </w:rPr>
              <w:t>Authorised Issuing Body: [</w:t>
            </w:r>
            <w:r>
              <w:rPr>
                <w:i/>
                <w:iCs/>
                <w:sz w:val="20"/>
                <w:szCs w:val="20"/>
              </w:rPr>
              <w:t>insert</w:t>
            </w:r>
            <w:r>
              <w:rPr>
                <w:sz w:val="20"/>
                <w:szCs w:val="20"/>
              </w:rPr>
              <w:t>]</w:t>
            </w:r>
          </w:p>
          <w:p w14:paraId="3B890343" w14:textId="0DDF54EE" w:rsidR="00ED78CD" w:rsidRPr="00DF68FA" w:rsidRDefault="00ED78CD" w:rsidP="00067634">
            <w:pPr>
              <w:pStyle w:val="Header"/>
              <w:rPr>
                <w:sz w:val="20"/>
                <w:szCs w:val="20"/>
              </w:rPr>
            </w:pPr>
            <w:r>
              <w:rPr>
                <w:sz w:val="20"/>
                <w:szCs w:val="20"/>
              </w:rPr>
              <w:t>Certificates</w:t>
            </w:r>
            <w:r w:rsidRPr="00261928">
              <w:rPr>
                <w:sz w:val="20"/>
                <w:szCs w:val="20"/>
              </w:rPr>
              <w:t xml:space="preserve"> Registry:</w:t>
            </w:r>
            <w:r>
              <w:rPr>
                <w:sz w:val="20"/>
                <w:szCs w:val="20"/>
              </w:rPr>
              <w:t xml:space="preserve"> [</w:t>
            </w:r>
            <w:r>
              <w:rPr>
                <w:i/>
                <w:iCs/>
                <w:sz w:val="20"/>
                <w:szCs w:val="20"/>
              </w:rPr>
              <w:t>insert</w:t>
            </w:r>
            <w:r>
              <w:rPr>
                <w:sz w:val="20"/>
                <w:szCs w:val="20"/>
              </w:rPr>
              <w:t>]</w:t>
            </w:r>
          </w:p>
          <w:p w14:paraId="124F07B2" w14:textId="17CA6F37" w:rsidR="00ED78CD" w:rsidRPr="00DF68FA" w:rsidRDefault="00ED78CD" w:rsidP="00067634">
            <w:pPr>
              <w:pStyle w:val="Header"/>
              <w:rPr>
                <w:sz w:val="20"/>
                <w:szCs w:val="20"/>
              </w:rPr>
            </w:pPr>
            <w:r w:rsidRPr="00DF68FA">
              <w:rPr>
                <w:sz w:val="20"/>
                <w:szCs w:val="20"/>
              </w:rPr>
              <w:t>Account number or Account name:</w:t>
            </w:r>
            <w:r>
              <w:rPr>
                <w:sz w:val="20"/>
                <w:szCs w:val="20"/>
              </w:rPr>
              <w:t xml:space="preserve"> [</w:t>
            </w:r>
            <w:r w:rsidRPr="00505402">
              <w:rPr>
                <w:i/>
                <w:iCs/>
                <w:sz w:val="20"/>
                <w:szCs w:val="20"/>
              </w:rPr>
              <w:t>insert number</w:t>
            </w:r>
            <w:r>
              <w:rPr>
                <w:sz w:val="20"/>
                <w:szCs w:val="20"/>
              </w:rPr>
              <w:t>]</w:t>
            </w:r>
          </w:p>
        </w:tc>
      </w:tr>
      <w:tr w:rsidR="00ED78CD" w:rsidRPr="00DF68FA" w14:paraId="130E499C" w14:textId="77777777" w:rsidTr="00B84DEC">
        <w:tblPrEx>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Ex>
        <w:trPr>
          <w:cantSplit/>
          <w:trHeight w:val="264"/>
        </w:trPr>
        <w:tc>
          <w:tcPr>
            <w:tcW w:w="2127" w:type="dxa"/>
          </w:tcPr>
          <w:p w14:paraId="4289CDBB" w14:textId="77777777" w:rsidR="00ED78CD" w:rsidRPr="00DF68FA" w:rsidRDefault="00ED78CD" w:rsidP="00067634">
            <w:pPr>
              <w:pStyle w:val="Header"/>
              <w:rPr>
                <w:b/>
                <w:sz w:val="20"/>
                <w:szCs w:val="20"/>
              </w:rPr>
            </w:pPr>
          </w:p>
        </w:tc>
        <w:tc>
          <w:tcPr>
            <w:tcW w:w="1275" w:type="dxa"/>
          </w:tcPr>
          <w:p w14:paraId="10232141" w14:textId="52AE98CE" w:rsidR="00ED78CD" w:rsidDel="00B755B5" w:rsidRDefault="00ED78CD" w:rsidP="00067634">
            <w:pPr>
              <w:pStyle w:val="Header"/>
              <w:rPr>
                <w:sz w:val="20"/>
                <w:szCs w:val="20"/>
              </w:rPr>
            </w:pPr>
            <w:r>
              <w:rPr>
                <w:sz w:val="20"/>
                <w:szCs w:val="20"/>
              </w:rPr>
              <w:t>Buyer:</w:t>
            </w:r>
          </w:p>
        </w:tc>
        <w:tc>
          <w:tcPr>
            <w:tcW w:w="5627" w:type="dxa"/>
            <w:shd w:val="clear" w:color="auto" w:fill="auto"/>
          </w:tcPr>
          <w:p w14:paraId="798B5FDF" w14:textId="19D99247" w:rsidR="00ED78CD" w:rsidRPr="00DF68FA" w:rsidRDefault="00ED78CD" w:rsidP="00067634">
            <w:pPr>
              <w:pStyle w:val="Header"/>
              <w:rPr>
                <w:sz w:val="20"/>
                <w:szCs w:val="20"/>
              </w:rPr>
            </w:pPr>
            <w:r>
              <w:rPr>
                <w:sz w:val="20"/>
                <w:szCs w:val="20"/>
              </w:rPr>
              <w:t>Certificates</w:t>
            </w:r>
            <w:r w:rsidRPr="00261928">
              <w:rPr>
                <w:sz w:val="20"/>
                <w:szCs w:val="20"/>
              </w:rPr>
              <w:t xml:space="preserve"> Registry:</w:t>
            </w:r>
            <w:r>
              <w:rPr>
                <w:sz w:val="20"/>
                <w:szCs w:val="20"/>
              </w:rPr>
              <w:t xml:space="preserve"> [</w:t>
            </w:r>
            <w:r>
              <w:rPr>
                <w:i/>
                <w:iCs/>
                <w:sz w:val="20"/>
                <w:szCs w:val="20"/>
              </w:rPr>
              <w:t>insert</w:t>
            </w:r>
            <w:r>
              <w:rPr>
                <w:sz w:val="20"/>
                <w:szCs w:val="20"/>
              </w:rPr>
              <w:t>]</w:t>
            </w:r>
          </w:p>
          <w:p w14:paraId="72E9EBF7" w14:textId="45D411D2" w:rsidR="00ED78CD" w:rsidRPr="00DF68FA" w:rsidRDefault="00ED78CD" w:rsidP="00067634">
            <w:pPr>
              <w:pStyle w:val="Header"/>
              <w:rPr>
                <w:sz w:val="20"/>
                <w:szCs w:val="20"/>
              </w:rPr>
            </w:pPr>
            <w:r w:rsidRPr="00DF68FA">
              <w:rPr>
                <w:sz w:val="20"/>
                <w:szCs w:val="20"/>
              </w:rPr>
              <w:t>Account number or Account name:</w:t>
            </w:r>
            <w:r>
              <w:rPr>
                <w:sz w:val="20"/>
                <w:szCs w:val="20"/>
              </w:rPr>
              <w:t xml:space="preserve"> [</w:t>
            </w:r>
            <w:r w:rsidRPr="00505402">
              <w:rPr>
                <w:i/>
                <w:iCs/>
                <w:sz w:val="20"/>
                <w:szCs w:val="20"/>
              </w:rPr>
              <w:t>insert number</w:t>
            </w:r>
            <w:r>
              <w:rPr>
                <w:sz w:val="20"/>
                <w:szCs w:val="20"/>
              </w:rPr>
              <w:t>]</w:t>
            </w:r>
          </w:p>
        </w:tc>
      </w:tr>
    </w:tbl>
    <w:p w14:paraId="02E92F90" w14:textId="12F8CE8B" w:rsidR="004746B8" w:rsidRDefault="004746B8" w:rsidP="004746B8">
      <w:pPr>
        <w:pStyle w:val="MarginText"/>
        <w:rPr>
          <w:b/>
        </w:rPr>
      </w:pPr>
    </w:p>
    <w:p w14:paraId="6E18671C" w14:textId="045E85FE" w:rsidR="004746B8" w:rsidRDefault="004746B8" w:rsidP="00570EE9">
      <w:pPr>
        <w:pStyle w:val="MarginText"/>
        <w:tabs>
          <w:tab w:val="left" w:pos="1985"/>
        </w:tabs>
        <w:ind w:left="1985" w:hanging="1985"/>
        <w:rPr>
          <w:bCs/>
        </w:rPr>
      </w:pPr>
      <w:r>
        <w:rPr>
          <w:b/>
        </w:rPr>
        <w:t xml:space="preserve">Certificate: </w:t>
      </w:r>
      <w:r w:rsidR="00570EE9">
        <w:rPr>
          <w:b/>
        </w:rPr>
        <w:tab/>
      </w:r>
      <w:r w:rsidR="00570EE9" w:rsidRPr="00570EE9">
        <w:rPr>
          <w:bCs/>
        </w:rPr>
        <w:t xml:space="preserve">A </w:t>
      </w:r>
      <w:r w:rsidR="00DE40FC">
        <w:rPr>
          <w:bCs/>
        </w:rPr>
        <w:t>B</w:t>
      </w:r>
      <w:r w:rsidR="00570EE9" w:rsidRPr="00570EE9">
        <w:rPr>
          <w:bCs/>
        </w:rPr>
        <w:t xml:space="preserve">iogas Guarantee of Origin issued by </w:t>
      </w:r>
      <w:r w:rsidR="005F7FEE">
        <w:rPr>
          <w:bCs/>
        </w:rPr>
        <w:t>the Authorised Issuing Body</w:t>
      </w:r>
      <w:r w:rsidR="00570EE9" w:rsidRPr="00570EE9">
        <w:rPr>
          <w:bCs/>
        </w:rPr>
        <w:t xml:space="preserve"> in accordance with Article 2(12) and Article 19 RED II and Applicable Law to evidence the production of renewable </w:t>
      </w:r>
      <w:r w:rsidR="00570EE9" w:rsidRPr="00A539CF">
        <w:rPr>
          <w:bCs/>
        </w:rPr>
        <w:t xml:space="preserve">source </w:t>
      </w:r>
      <w:r w:rsidR="00F60304">
        <w:rPr>
          <w:bCs/>
        </w:rPr>
        <w:t>B</w:t>
      </w:r>
      <w:r w:rsidR="00A539CF" w:rsidRPr="00A539CF">
        <w:rPr>
          <w:bCs/>
        </w:rPr>
        <w:t>iogas</w:t>
      </w:r>
      <w:r w:rsidR="00570EE9" w:rsidRPr="00A539CF">
        <w:rPr>
          <w:bCs/>
        </w:rPr>
        <w:t xml:space="preserve"> </w:t>
      </w:r>
      <w:r w:rsidR="007913A1">
        <w:rPr>
          <w:bCs/>
        </w:rPr>
        <w:t xml:space="preserve">which meets the Certificate Details </w:t>
      </w:r>
      <w:r w:rsidR="00570EE9" w:rsidRPr="00A539CF">
        <w:rPr>
          <w:bCs/>
        </w:rPr>
        <w:t>(</w:t>
      </w:r>
      <w:r w:rsidR="00A539CF" w:rsidRPr="00A539CF">
        <w:rPr>
          <w:b/>
        </w:rPr>
        <w:t>"</w:t>
      </w:r>
      <w:r w:rsidR="00570EE9" w:rsidRPr="00A539CF">
        <w:rPr>
          <w:b/>
        </w:rPr>
        <w:t>Certificate</w:t>
      </w:r>
      <w:r w:rsidR="00A539CF" w:rsidRPr="00A539CF">
        <w:rPr>
          <w:b/>
        </w:rPr>
        <w:t>"</w:t>
      </w:r>
      <w:r w:rsidR="00570EE9" w:rsidRPr="00A539CF">
        <w:rPr>
          <w:bCs/>
        </w:rPr>
        <w:t>).</w:t>
      </w:r>
    </w:p>
    <w:p w14:paraId="7C5B86D8" w14:textId="77777777" w:rsidR="00A539CF" w:rsidRDefault="00A539CF" w:rsidP="00A539CF">
      <w:pPr>
        <w:pStyle w:val="MarginText"/>
        <w:tabs>
          <w:tab w:val="left" w:pos="0"/>
        </w:tabs>
        <w:spacing w:after="0"/>
        <w:rPr>
          <w:b/>
        </w:rPr>
      </w:pPr>
      <w:r w:rsidRPr="00DF68FA">
        <w:rPr>
          <w:b/>
        </w:rPr>
        <w:t>Certificate Details:</w:t>
      </w:r>
    </w:p>
    <w:p w14:paraId="5E5112AA" w14:textId="77777777" w:rsidR="00A539CF" w:rsidRPr="00DF68FA" w:rsidRDefault="00A539CF" w:rsidP="00A539CF">
      <w:pPr>
        <w:pStyle w:val="MarginText"/>
        <w:tabs>
          <w:tab w:val="left" w:pos="1843"/>
        </w:tabs>
        <w:spacing w:after="0"/>
        <w:ind w:left="1843" w:hanging="1843"/>
        <w:rPr>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13"/>
        <w:gridCol w:w="1616"/>
        <w:gridCol w:w="1428"/>
        <w:gridCol w:w="1172"/>
        <w:gridCol w:w="1134"/>
        <w:gridCol w:w="1417"/>
        <w:gridCol w:w="1134"/>
      </w:tblGrid>
      <w:tr w:rsidR="00505402" w14:paraId="20498087" w14:textId="77777777" w:rsidTr="00505402">
        <w:tc>
          <w:tcPr>
            <w:tcW w:w="1276" w:type="dxa"/>
            <w:shd w:val="clear" w:color="auto" w:fill="auto"/>
          </w:tcPr>
          <w:p w14:paraId="6745E9E2" w14:textId="77777777" w:rsidR="00505402" w:rsidRPr="00DF68FA" w:rsidRDefault="00505402" w:rsidP="00067634">
            <w:pPr>
              <w:pStyle w:val="MarginText"/>
              <w:overflowPunct w:val="0"/>
              <w:autoSpaceDE w:val="0"/>
              <w:autoSpaceDN w:val="0"/>
              <w:spacing w:before="20" w:after="20"/>
              <w:textAlignment w:val="baseline"/>
              <w:rPr>
                <w:b/>
              </w:rPr>
            </w:pPr>
            <w:r w:rsidRPr="00DF68FA">
              <w:rPr>
                <w:b/>
              </w:rPr>
              <w:t>Production Year</w:t>
            </w:r>
          </w:p>
        </w:tc>
        <w:tc>
          <w:tcPr>
            <w:tcW w:w="1313" w:type="dxa"/>
            <w:shd w:val="clear" w:color="auto" w:fill="auto"/>
          </w:tcPr>
          <w:p w14:paraId="002A730C" w14:textId="77777777" w:rsidR="00505402" w:rsidRPr="00DF68FA" w:rsidRDefault="00505402" w:rsidP="00067634">
            <w:pPr>
              <w:pStyle w:val="MarginText"/>
              <w:overflowPunct w:val="0"/>
              <w:autoSpaceDE w:val="0"/>
              <w:autoSpaceDN w:val="0"/>
              <w:spacing w:before="20" w:after="20"/>
              <w:textAlignment w:val="baseline"/>
              <w:rPr>
                <w:b/>
              </w:rPr>
            </w:pPr>
            <w:r>
              <w:rPr>
                <w:b/>
              </w:rPr>
              <w:t xml:space="preserve">Subsidised / </w:t>
            </w:r>
            <w:r>
              <w:rPr>
                <w:b/>
              </w:rPr>
              <w:br/>
              <w:t>non-subsidised</w:t>
            </w:r>
          </w:p>
        </w:tc>
        <w:tc>
          <w:tcPr>
            <w:tcW w:w="1616" w:type="dxa"/>
          </w:tcPr>
          <w:p w14:paraId="778C5512" w14:textId="3808ED99" w:rsidR="00505402" w:rsidRPr="00F60304" w:rsidRDefault="00505402" w:rsidP="00067634">
            <w:pPr>
              <w:pStyle w:val="MarginText"/>
              <w:overflowPunct w:val="0"/>
              <w:autoSpaceDE w:val="0"/>
              <w:autoSpaceDN w:val="0"/>
              <w:spacing w:before="20" w:after="20"/>
              <w:textAlignment w:val="baseline"/>
              <w:rPr>
                <w:b/>
              </w:rPr>
            </w:pPr>
            <w:r w:rsidRPr="00F60304">
              <w:rPr>
                <w:b/>
              </w:rPr>
              <w:t>Feedstock Type</w:t>
            </w:r>
          </w:p>
        </w:tc>
        <w:tc>
          <w:tcPr>
            <w:tcW w:w="1428" w:type="dxa"/>
          </w:tcPr>
          <w:p w14:paraId="6E4ECC18" w14:textId="2EEF28ED" w:rsidR="00505402" w:rsidRPr="00DF68FA" w:rsidRDefault="00505402" w:rsidP="00067634">
            <w:pPr>
              <w:pStyle w:val="MarginText"/>
              <w:overflowPunct w:val="0"/>
              <w:autoSpaceDE w:val="0"/>
              <w:autoSpaceDN w:val="0"/>
              <w:spacing w:before="20" w:after="20"/>
              <w:textAlignment w:val="baseline"/>
              <w:rPr>
                <w:b/>
              </w:rPr>
            </w:pPr>
            <w:r>
              <w:rPr>
                <w:b/>
              </w:rPr>
              <w:t>Product Type</w:t>
            </w:r>
          </w:p>
        </w:tc>
        <w:tc>
          <w:tcPr>
            <w:tcW w:w="1172" w:type="dxa"/>
          </w:tcPr>
          <w:p w14:paraId="3B52E49B" w14:textId="705C3449" w:rsidR="00505402" w:rsidRPr="00DF68FA" w:rsidRDefault="00505402" w:rsidP="00067634">
            <w:pPr>
              <w:pStyle w:val="MarginText"/>
              <w:overflowPunct w:val="0"/>
              <w:autoSpaceDE w:val="0"/>
              <w:autoSpaceDN w:val="0"/>
              <w:spacing w:before="20" w:after="20"/>
              <w:textAlignment w:val="baseline"/>
              <w:rPr>
                <w:b/>
              </w:rPr>
            </w:pPr>
            <w:r>
              <w:rPr>
                <w:b/>
              </w:rPr>
              <w:t>Carbon Intensity</w:t>
            </w:r>
          </w:p>
        </w:tc>
        <w:tc>
          <w:tcPr>
            <w:tcW w:w="1134" w:type="dxa"/>
            <w:shd w:val="clear" w:color="auto" w:fill="auto"/>
          </w:tcPr>
          <w:p w14:paraId="5DA878D8" w14:textId="55A1CD6E" w:rsidR="00505402" w:rsidRPr="00DF68FA" w:rsidRDefault="00505402" w:rsidP="00067634">
            <w:pPr>
              <w:pStyle w:val="MarginText"/>
              <w:overflowPunct w:val="0"/>
              <w:autoSpaceDE w:val="0"/>
              <w:autoSpaceDN w:val="0"/>
              <w:spacing w:before="20" w:after="20"/>
              <w:textAlignment w:val="baseline"/>
              <w:rPr>
                <w:b/>
              </w:rPr>
            </w:pPr>
            <w:r w:rsidRPr="00DF68FA">
              <w:rPr>
                <w:b/>
              </w:rPr>
              <w:t>Quantity (MWh)</w:t>
            </w:r>
          </w:p>
        </w:tc>
        <w:tc>
          <w:tcPr>
            <w:tcW w:w="1417" w:type="dxa"/>
            <w:shd w:val="clear" w:color="auto" w:fill="auto"/>
          </w:tcPr>
          <w:p w14:paraId="2330CE83" w14:textId="549FA4CD" w:rsidR="00505402" w:rsidRPr="00DF68FA" w:rsidRDefault="00505402" w:rsidP="00067634">
            <w:pPr>
              <w:pStyle w:val="MarginText"/>
              <w:overflowPunct w:val="0"/>
              <w:autoSpaceDE w:val="0"/>
              <w:autoSpaceDN w:val="0"/>
              <w:spacing w:before="20" w:after="20"/>
              <w:jc w:val="left"/>
              <w:textAlignment w:val="baseline"/>
              <w:rPr>
                <w:b/>
              </w:rPr>
            </w:pPr>
            <w:r w:rsidRPr="00DF68FA">
              <w:rPr>
                <w:b/>
              </w:rPr>
              <w:t>Price per Certificate</w:t>
            </w:r>
            <w:r>
              <w:rPr>
                <w:b/>
              </w:rPr>
              <w:t xml:space="preserve"> (EUR)</w:t>
            </w:r>
          </w:p>
        </w:tc>
        <w:tc>
          <w:tcPr>
            <w:tcW w:w="1134" w:type="dxa"/>
            <w:shd w:val="clear" w:color="auto" w:fill="auto"/>
          </w:tcPr>
          <w:p w14:paraId="226F3B7A" w14:textId="77777777" w:rsidR="00505402" w:rsidRPr="00DF68FA" w:rsidRDefault="00505402" w:rsidP="00067634">
            <w:pPr>
              <w:pStyle w:val="MarginText"/>
              <w:overflowPunct w:val="0"/>
              <w:autoSpaceDE w:val="0"/>
              <w:autoSpaceDN w:val="0"/>
              <w:spacing w:before="20" w:after="20"/>
              <w:textAlignment w:val="baseline"/>
              <w:rPr>
                <w:b/>
              </w:rPr>
            </w:pPr>
            <w:r w:rsidRPr="00DF68FA">
              <w:rPr>
                <w:b/>
              </w:rPr>
              <w:t>Delivery Date</w:t>
            </w:r>
          </w:p>
        </w:tc>
      </w:tr>
      <w:tr w:rsidR="00505402" w14:paraId="4845683F" w14:textId="77777777" w:rsidTr="00505402">
        <w:tc>
          <w:tcPr>
            <w:tcW w:w="1276" w:type="dxa"/>
            <w:shd w:val="clear" w:color="auto" w:fill="auto"/>
          </w:tcPr>
          <w:p w14:paraId="3ED48047" w14:textId="77777777" w:rsidR="00505402" w:rsidRPr="00DF68FA" w:rsidRDefault="00505402" w:rsidP="00067634">
            <w:pPr>
              <w:pStyle w:val="MarginText"/>
              <w:overflowPunct w:val="0"/>
              <w:autoSpaceDE w:val="0"/>
              <w:autoSpaceDN w:val="0"/>
              <w:spacing w:before="20" w:after="20"/>
              <w:textAlignment w:val="baseline"/>
            </w:pPr>
          </w:p>
        </w:tc>
        <w:tc>
          <w:tcPr>
            <w:tcW w:w="1313" w:type="dxa"/>
            <w:shd w:val="clear" w:color="auto" w:fill="auto"/>
          </w:tcPr>
          <w:p w14:paraId="7949F756" w14:textId="77777777" w:rsidR="00505402" w:rsidRPr="00DF68FA" w:rsidRDefault="00505402" w:rsidP="00067634">
            <w:pPr>
              <w:pStyle w:val="MarginText"/>
              <w:overflowPunct w:val="0"/>
              <w:autoSpaceDE w:val="0"/>
              <w:autoSpaceDN w:val="0"/>
              <w:spacing w:before="20" w:after="20"/>
              <w:textAlignment w:val="baseline"/>
            </w:pPr>
          </w:p>
        </w:tc>
        <w:tc>
          <w:tcPr>
            <w:tcW w:w="1616" w:type="dxa"/>
          </w:tcPr>
          <w:p w14:paraId="25A28C64" w14:textId="77777777" w:rsidR="00505402" w:rsidRPr="00DF68FA" w:rsidRDefault="00505402" w:rsidP="00067634">
            <w:pPr>
              <w:pStyle w:val="MarginText"/>
              <w:overflowPunct w:val="0"/>
              <w:autoSpaceDE w:val="0"/>
              <w:autoSpaceDN w:val="0"/>
              <w:spacing w:before="20" w:after="20"/>
              <w:textAlignment w:val="baseline"/>
            </w:pPr>
          </w:p>
        </w:tc>
        <w:tc>
          <w:tcPr>
            <w:tcW w:w="1428" w:type="dxa"/>
          </w:tcPr>
          <w:p w14:paraId="5EE645A8" w14:textId="77777777" w:rsidR="00505402" w:rsidRPr="00DF68FA" w:rsidRDefault="00505402" w:rsidP="00067634">
            <w:pPr>
              <w:pStyle w:val="MarginText"/>
              <w:overflowPunct w:val="0"/>
              <w:autoSpaceDE w:val="0"/>
              <w:autoSpaceDN w:val="0"/>
              <w:spacing w:before="20" w:after="20"/>
              <w:textAlignment w:val="baseline"/>
            </w:pPr>
          </w:p>
        </w:tc>
        <w:tc>
          <w:tcPr>
            <w:tcW w:w="1172" w:type="dxa"/>
          </w:tcPr>
          <w:p w14:paraId="3283A304" w14:textId="77777777" w:rsidR="00505402" w:rsidRPr="00DF68FA" w:rsidRDefault="00505402" w:rsidP="00067634">
            <w:pPr>
              <w:pStyle w:val="MarginText"/>
              <w:overflowPunct w:val="0"/>
              <w:autoSpaceDE w:val="0"/>
              <w:autoSpaceDN w:val="0"/>
              <w:spacing w:before="20" w:after="20"/>
              <w:textAlignment w:val="baseline"/>
            </w:pPr>
          </w:p>
        </w:tc>
        <w:tc>
          <w:tcPr>
            <w:tcW w:w="1134" w:type="dxa"/>
            <w:shd w:val="clear" w:color="auto" w:fill="auto"/>
          </w:tcPr>
          <w:p w14:paraId="67F08C67" w14:textId="7618DA82" w:rsidR="00505402" w:rsidRPr="00DF68FA" w:rsidRDefault="00505402" w:rsidP="00067634">
            <w:pPr>
              <w:pStyle w:val="MarginText"/>
              <w:overflowPunct w:val="0"/>
              <w:autoSpaceDE w:val="0"/>
              <w:autoSpaceDN w:val="0"/>
              <w:spacing w:before="20" w:after="20"/>
              <w:textAlignment w:val="baseline"/>
            </w:pPr>
          </w:p>
        </w:tc>
        <w:tc>
          <w:tcPr>
            <w:tcW w:w="1417" w:type="dxa"/>
            <w:shd w:val="clear" w:color="auto" w:fill="auto"/>
          </w:tcPr>
          <w:p w14:paraId="12472E7A" w14:textId="77777777" w:rsidR="00505402" w:rsidRPr="00DF68FA" w:rsidRDefault="00505402" w:rsidP="00067634">
            <w:pPr>
              <w:pStyle w:val="MarginText"/>
              <w:overflowPunct w:val="0"/>
              <w:autoSpaceDE w:val="0"/>
              <w:autoSpaceDN w:val="0"/>
              <w:spacing w:before="20" w:after="20"/>
              <w:textAlignment w:val="baseline"/>
            </w:pPr>
          </w:p>
        </w:tc>
        <w:tc>
          <w:tcPr>
            <w:tcW w:w="1134" w:type="dxa"/>
            <w:shd w:val="clear" w:color="auto" w:fill="auto"/>
          </w:tcPr>
          <w:p w14:paraId="4FCEB6BE" w14:textId="77777777" w:rsidR="00505402" w:rsidRPr="00DF68FA" w:rsidRDefault="00505402" w:rsidP="00067634">
            <w:pPr>
              <w:pStyle w:val="MarginText"/>
              <w:overflowPunct w:val="0"/>
              <w:autoSpaceDE w:val="0"/>
              <w:autoSpaceDN w:val="0"/>
              <w:spacing w:before="20" w:after="20"/>
              <w:textAlignment w:val="baseline"/>
            </w:pPr>
          </w:p>
        </w:tc>
      </w:tr>
      <w:tr w:rsidR="00505402" w14:paraId="50EBF461" w14:textId="77777777" w:rsidTr="00505402">
        <w:tc>
          <w:tcPr>
            <w:tcW w:w="1276" w:type="dxa"/>
            <w:shd w:val="clear" w:color="auto" w:fill="auto"/>
          </w:tcPr>
          <w:p w14:paraId="29BD0ED5" w14:textId="77777777" w:rsidR="00505402" w:rsidRPr="00DF68FA" w:rsidRDefault="00505402" w:rsidP="00067634">
            <w:pPr>
              <w:pStyle w:val="MarginText"/>
              <w:overflowPunct w:val="0"/>
              <w:autoSpaceDE w:val="0"/>
              <w:autoSpaceDN w:val="0"/>
              <w:spacing w:before="20" w:after="20"/>
              <w:textAlignment w:val="baseline"/>
            </w:pPr>
          </w:p>
        </w:tc>
        <w:tc>
          <w:tcPr>
            <w:tcW w:w="1313" w:type="dxa"/>
            <w:shd w:val="clear" w:color="auto" w:fill="auto"/>
          </w:tcPr>
          <w:p w14:paraId="54EEC1F7" w14:textId="77777777" w:rsidR="00505402" w:rsidRPr="00DF68FA" w:rsidRDefault="00505402" w:rsidP="00067634">
            <w:pPr>
              <w:pStyle w:val="MarginText"/>
              <w:overflowPunct w:val="0"/>
              <w:autoSpaceDE w:val="0"/>
              <w:autoSpaceDN w:val="0"/>
              <w:spacing w:before="20" w:after="20"/>
              <w:textAlignment w:val="baseline"/>
            </w:pPr>
          </w:p>
        </w:tc>
        <w:tc>
          <w:tcPr>
            <w:tcW w:w="1616" w:type="dxa"/>
          </w:tcPr>
          <w:p w14:paraId="66941099" w14:textId="77777777" w:rsidR="00505402" w:rsidRPr="00DF68FA" w:rsidRDefault="00505402" w:rsidP="00067634">
            <w:pPr>
              <w:pStyle w:val="MarginText"/>
              <w:overflowPunct w:val="0"/>
              <w:autoSpaceDE w:val="0"/>
              <w:autoSpaceDN w:val="0"/>
              <w:spacing w:before="20" w:after="20"/>
              <w:textAlignment w:val="baseline"/>
            </w:pPr>
          </w:p>
        </w:tc>
        <w:tc>
          <w:tcPr>
            <w:tcW w:w="1428" w:type="dxa"/>
          </w:tcPr>
          <w:p w14:paraId="2081FF6E" w14:textId="77777777" w:rsidR="00505402" w:rsidRPr="00DF68FA" w:rsidRDefault="00505402" w:rsidP="00067634">
            <w:pPr>
              <w:pStyle w:val="MarginText"/>
              <w:overflowPunct w:val="0"/>
              <w:autoSpaceDE w:val="0"/>
              <w:autoSpaceDN w:val="0"/>
              <w:spacing w:before="20" w:after="20"/>
              <w:textAlignment w:val="baseline"/>
            </w:pPr>
          </w:p>
        </w:tc>
        <w:tc>
          <w:tcPr>
            <w:tcW w:w="1172" w:type="dxa"/>
          </w:tcPr>
          <w:p w14:paraId="61186F70" w14:textId="77777777" w:rsidR="00505402" w:rsidRPr="00DF68FA" w:rsidRDefault="00505402" w:rsidP="00067634">
            <w:pPr>
              <w:pStyle w:val="MarginText"/>
              <w:overflowPunct w:val="0"/>
              <w:autoSpaceDE w:val="0"/>
              <w:autoSpaceDN w:val="0"/>
              <w:spacing w:before="20" w:after="20"/>
              <w:textAlignment w:val="baseline"/>
            </w:pPr>
          </w:p>
        </w:tc>
        <w:tc>
          <w:tcPr>
            <w:tcW w:w="1134" w:type="dxa"/>
            <w:shd w:val="clear" w:color="auto" w:fill="auto"/>
          </w:tcPr>
          <w:p w14:paraId="594D9EB0" w14:textId="7F11989B" w:rsidR="00505402" w:rsidRPr="00DF68FA" w:rsidRDefault="00505402" w:rsidP="00067634">
            <w:pPr>
              <w:pStyle w:val="MarginText"/>
              <w:overflowPunct w:val="0"/>
              <w:autoSpaceDE w:val="0"/>
              <w:autoSpaceDN w:val="0"/>
              <w:spacing w:before="20" w:after="20"/>
              <w:textAlignment w:val="baseline"/>
            </w:pPr>
          </w:p>
        </w:tc>
        <w:tc>
          <w:tcPr>
            <w:tcW w:w="1417" w:type="dxa"/>
            <w:shd w:val="clear" w:color="auto" w:fill="auto"/>
          </w:tcPr>
          <w:p w14:paraId="11CDAF5D" w14:textId="77777777" w:rsidR="00505402" w:rsidRPr="00DF68FA" w:rsidRDefault="00505402" w:rsidP="00067634">
            <w:pPr>
              <w:pStyle w:val="MarginText"/>
              <w:overflowPunct w:val="0"/>
              <w:autoSpaceDE w:val="0"/>
              <w:autoSpaceDN w:val="0"/>
              <w:spacing w:before="20" w:after="20"/>
              <w:textAlignment w:val="baseline"/>
            </w:pPr>
          </w:p>
        </w:tc>
        <w:tc>
          <w:tcPr>
            <w:tcW w:w="1134" w:type="dxa"/>
            <w:shd w:val="clear" w:color="auto" w:fill="auto"/>
          </w:tcPr>
          <w:p w14:paraId="1ACD4C11" w14:textId="77777777" w:rsidR="00505402" w:rsidRPr="00DF68FA" w:rsidRDefault="00505402" w:rsidP="00067634">
            <w:pPr>
              <w:pStyle w:val="MarginText"/>
              <w:overflowPunct w:val="0"/>
              <w:autoSpaceDE w:val="0"/>
              <w:autoSpaceDN w:val="0"/>
              <w:spacing w:before="20" w:after="20"/>
              <w:textAlignment w:val="baseline"/>
            </w:pPr>
          </w:p>
        </w:tc>
      </w:tr>
      <w:tr w:rsidR="00505402" w14:paraId="11F872CF" w14:textId="77777777" w:rsidTr="00505402">
        <w:tc>
          <w:tcPr>
            <w:tcW w:w="7939" w:type="dxa"/>
            <w:gridSpan w:val="6"/>
          </w:tcPr>
          <w:p w14:paraId="070AFCAB" w14:textId="017802B8" w:rsidR="00505402" w:rsidRPr="00DF68FA" w:rsidRDefault="00505402" w:rsidP="00067634">
            <w:pPr>
              <w:pStyle w:val="MarginText"/>
              <w:overflowPunct w:val="0"/>
              <w:autoSpaceDE w:val="0"/>
              <w:autoSpaceDN w:val="0"/>
              <w:spacing w:before="20" w:after="20"/>
              <w:textAlignment w:val="baseline"/>
              <w:rPr>
                <w:b/>
              </w:rPr>
            </w:pPr>
            <w:r w:rsidRPr="00DF68FA">
              <w:rPr>
                <w:b/>
              </w:rPr>
              <w:t>Total Contract Price</w:t>
            </w:r>
          </w:p>
        </w:tc>
        <w:tc>
          <w:tcPr>
            <w:tcW w:w="1417" w:type="dxa"/>
            <w:shd w:val="clear" w:color="auto" w:fill="auto"/>
          </w:tcPr>
          <w:p w14:paraId="4B8BCDEA" w14:textId="77777777" w:rsidR="00505402" w:rsidRPr="00DF68FA" w:rsidRDefault="00505402" w:rsidP="00067634">
            <w:pPr>
              <w:pStyle w:val="MarginText"/>
              <w:overflowPunct w:val="0"/>
              <w:autoSpaceDE w:val="0"/>
              <w:autoSpaceDN w:val="0"/>
              <w:spacing w:before="20" w:after="20"/>
              <w:textAlignment w:val="baseline"/>
              <w:rPr>
                <w:b/>
              </w:rPr>
            </w:pPr>
            <w:r w:rsidRPr="00DF68FA">
              <w:rPr>
                <w:b/>
              </w:rPr>
              <w:t>(Total)</w:t>
            </w:r>
          </w:p>
        </w:tc>
        <w:tc>
          <w:tcPr>
            <w:tcW w:w="1134" w:type="dxa"/>
            <w:shd w:val="clear" w:color="auto" w:fill="auto"/>
          </w:tcPr>
          <w:p w14:paraId="4D6760C6" w14:textId="77777777" w:rsidR="00505402" w:rsidRPr="00DF68FA" w:rsidRDefault="00505402" w:rsidP="00067634">
            <w:pPr>
              <w:pStyle w:val="MarginText"/>
              <w:overflowPunct w:val="0"/>
              <w:autoSpaceDE w:val="0"/>
              <w:autoSpaceDN w:val="0"/>
              <w:spacing w:before="20" w:after="20"/>
              <w:textAlignment w:val="baseline"/>
              <w:rPr>
                <w:b/>
              </w:rPr>
            </w:pPr>
          </w:p>
        </w:tc>
      </w:tr>
    </w:tbl>
    <w:p w14:paraId="035931BD" w14:textId="77777777" w:rsidR="00A539CF" w:rsidRPr="00DF68FA" w:rsidRDefault="00A539CF" w:rsidP="00A539CF">
      <w:pPr>
        <w:pStyle w:val="Header"/>
        <w:rPr>
          <w:sz w:val="20"/>
          <w:szCs w:val="20"/>
        </w:rPr>
      </w:pPr>
    </w:p>
    <w:p w14:paraId="20859547" w14:textId="3B43732F" w:rsidR="003469B3" w:rsidRDefault="003469B3" w:rsidP="00A539CF">
      <w:pPr>
        <w:pStyle w:val="Header"/>
        <w:rPr>
          <w:sz w:val="20"/>
          <w:szCs w:val="20"/>
        </w:rPr>
      </w:pPr>
      <w:r>
        <w:rPr>
          <w:sz w:val="20"/>
          <w:szCs w:val="20"/>
        </w:rPr>
        <w:t xml:space="preserve">Specific Production Device: </w:t>
      </w:r>
      <w:r w:rsidRPr="00DF68FA">
        <w:rPr>
          <w:sz w:val="20"/>
          <w:szCs w:val="20"/>
        </w:rPr>
        <w:t>__________________________________________</w:t>
      </w:r>
    </w:p>
    <w:p w14:paraId="3DAF119C" w14:textId="77777777" w:rsidR="003469B3" w:rsidRDefault="003469B3" w:rsidP="00A539CF">
      <w:pPr>
        <w:pStyle w:val="Header"/>
        <w:rPr>
          <w:sz w:val="20"/>
          <w:szCs w:val="20"/>
        </w:rPr>
      </w:pPr>
    </w:p>
    <w:p w14:paraId="0FD5DE87" w14:textId="3AEFE734" w:rsidR="00A539CF" w:rsidRPr="00DF68FA" w:rsidRDefault="00A539CF" w:rsidP="00A539CF">
      <w:pPr>
        <w:pStyle w:val="Header"/>
        <w:rPr>
          <w:sz w:val="20"/>
          <w:szCs w:val="20"/>
        </w:rPr>
      </w:pPr>
      <w:r w:rsidRPr="00DF68FA">
        <w:rPr>
          <w:sz w:val="20"/>
          <w:szCs w:val="20"/>
        </w:rPr>
        <w:t xml:space="preserve">Minimum validity of the Certificates upon </w:t>
      </w:r>
      <w:r>
        <w:rPr>
          <w:sz w:val="20"/>
          <w:szCs w:val="20"/>
        </w:rPr>
        <w:t>Deliver</w:t>
      </w:r>
      <w:r w:rsidRPr="00DF68FA">
        <w:rPr>
          <w:sz w:val="20"/>
          <w:szCs w:val="20"/>
        </w:rPr>
        <w:t>y: __________________________________________</w:t>
      </w:r>
    </w:p>
    <w:p w14:paraId="393F5C9E" w14:textId="77777777" w:rsidR="00CC1F7C" w:rsidRDefault="00CC1F7C" w:rsidP="00A539CF">
      <w:pPr>
        <w:pStyle w:val="Header"/>
        <w:rPr>
          <w:sz w:val="20"/>
          <w:szCs w:val="20"/>
        </w:rPr>
      </w:pPr>
    </w:p>
    <w:p w14:paraId="1AC6A3BB" w14:textId="40EADE83" w:rsidR="00A539CF" w:rsidRPr="00DF68FA" w:rsidRDefault="00A539CF" w:rsidP="00A539CF">
      <w:pPr>
        <w:pStyle w:val="Header"/>
        <w:rPr>
          <w:sz w:val="20"/>
          <w:szCs w:val="20"/>
        </w:rPr>
      </w:pPr>
      <w:r w:rsidRPr="00DF68FA">
        <w:rPr>
          <w:sz w:val="20"/>
          <w:szCs w:val="20"/>
        </w:rPr>
        <w:t>Earmark/s: __________________________________________</w:t>
      </w:r>
    </w:p>
    <w:p w14:paraId="4AB09128" w14:textId="77777777" w:rsidR="00CC1F7C" w:rsidRDefault="00CC1F7C" w:rsidP="00A539CF">
      <w:pPr>
        <w:pStyle w:val="Header"/>
        <w:jc w:val="both"/>
        <w:rPr>
          <w:sz w:val="20"/>
          <w:szCs w:val="20"/>
        </w:rPr>
      </w:pPr>
    </w:p>
    <w:p w14:paraId="518409BC" w14:textId="0D673031" w:rsidR="00A539CF" w:rsidRPr="00DF68FA" w:rsidRDefault="00A539CF" w:rsidP="00A539CF">
      <w:pPr>
        <w:pStyle w:val="Header"/>
        <w:jc w:val="both"/>
        <w:rPr>
          <w:sz w:val="20"/>
          <w:szCs w:val="20"/>
        </w:rPr>
      </w:pPr>
      <w:r w:rsidRPr="00DF68FA">
        <w:rPr>
          <w:sz w:val="20"/>
          <w:szCs w:val="20"/>
        </w:rPr>
        <w:t>Additional quality: __________________________________________</w:t>
      </w:r>
    </w:p>
    <w:p w14:paraId="468B257B" w14:textId="72BD7EB3" w:rsidR="00A539CF" w:rsidRDefault="00A539CF" w:rsidP="00570EE9">
      <w:pPr>
        <w:pStyle w:val="MarginText"/>
        <w:tabs>
          <w:tab w:val="left" w:pos="1985"/>
        </w:tabs>
        <w:ind w:left="1985" w:hanging="1985"/>
      </w:pPr>
    </w:p>
    <w:tbl>
      <w:tblPr>
        <w:tblW w:w="9072" w:type="dxa"/>
        <w:tblLook w:val="04A0" w:firstRow="1" w:lastRow="0" w:firstColumn="1" w:lastColumn="0" w:noHBand="0" w:noVBand="1"/>
      </w:tblPr>
      <w:tblGrid>
        <w:gridCol w:w="2344"/>
        <w:gridCol w:w="6728"/>
      </w:tblGrid>
      <w:tr w:rsidR="00CC1F7C" w14:paraId="3B7AC619" w14:textId="77777777" w:rsidTr="00CC1F7C">
        <w:tc>
          <w:tcPr>
            <w:tcW w:w="9072" w:type="dxa"/>
            <w:gridSpan w:val="2"/>
            <w:tcBorders>
              <w:top w:val="single" w:sz="4" w:space="0" w:color="auto"/>
              <w:bottom w:val="single" w:sz="4" w:space="0" w:color="auto"/>
            </w:tcBorders>
            <w:shd w:val="clear" w:color="auto" w:fill="auto"/>
          </w:tcPr>
          <w:p w14:paraId="1D3CAB0D" w14:textId="77777777" w:rsidR="00CC1F7C" w:rsidRPr="00DF68FA" w:rsidRDefault="00CC1F7C" w:rsidP="00067634">
            <w:pPr>
              <w:pStyle w:val="MarginText"/>
              <w:overflowPunct w:val="0"/>
              <w:autoSpaceDE w:val="0"/>
              <w:autoSpaceDN w:val="0"/>
              <w:spacing w:before="20" w:after="20"/>
              <w:textAlignment w:val="baseline"/>
              <w:rPr>
                <w:rFonts w:eastAsia="Garamond"/>
                <w:b/>
                <w:i/>
              </w:rPr>
            </w:pPr>
            <w:r>
              <w:rPr>
                <w:rFonts w:eastAsia="Garamond"/>
                <w:b/>
                <w:i/>
              </w:rPr>
              <w:t>Commercial details</w:t>
            </w:r>
          </w:p>
        </w:tc>
      </w:tr>
      <w:tr w:rsidR="00CC1F7C" w:rsidRPr="00702E31" w14:paraId="659465EE" w14:textId="77777777" w:rsidTr="00067634">
        <w:tc>
          <w:tcPr>
            <w:tcW w:w="2344" w:type="dxa"/>
            <w:tcBorders>
              <w:top w:val="single" w:sz="4" w:space="0" w:color="auto"/>
              <w:bottom w:val="single" w:sz="4" w:space="0" w:color="auto"/>
            </w:tcBorders>
            <w:shd w:val="clear" w:color="auto" w:fill="auto"/>
          </w:tcPr>
          <w:p w14:paraId="700E85A5" w14:textId="77777777" w:rsidR="00CC1F7C" w:rsidRPr="00DE40FC" w:rsidRDefault="00CC1F7C" w:rsidP="00067634">
            <w:pPr>
              <w:pStyle w:val="MarginText"/>
              <w:overflowPunct w:val="0"/>
              <w:autoSpaceDE w:val="0"/>
              <w:autoSpaceDN w:val="0"/>
              <w:spacing w:before="20" w:after="20"/>
              <w:jc w:val="left"/>
              <w:textAlignment w:val="baseline"/>
              <w:rPr>
                <w:b/>
              </w:rPr>
            </w:pPr>
            <w:r w:rsidRPr="00DE40FC">
              <w:rPr>
                <w:b/>
              </w:rPr>
              <w:t>Designated Purpose:</w:t>
            </w:r>
          </w:p>
          <w:p w14:paraId="7829FF9A" w14:textId="77777777" w:rsidR="00CC1F7C" w:rsidRPr="00DE40FC" w:rsidRDefault="00CC1F7C" w:rsidP="00067634">
            <w:pPr>
              <w:pStyle w:val="MarginText"/>
              <w:overflowPunct w:val="0"/>
              <w:autoSpaceDE w:val="0"/>
              <w:autoSpaceDN w:val="0"/>
              <w:spacing w:before="20" w:after="20"/>
              <w:jc w:val="left"/>
              <w:textAlignment w:val="baseline"/>
              <w:rPr>
                <w:b/>
              </w:rPr>
            </w:pPr>
          </w:p>
          <w:p w14:paraId="7E3FB01A" w14:textId="77777777" w:rsidR="00CC1F7C" w:rsidRPr="00DE40FC" w:rsidRDefault="00CC1F7C" w:rsidP="00067634">
            <w:pPr>
              <w:pStyle w:val="MarginText"/>
              <w:overflowPunct w:val="0"/>
              <w:autoSpaceDE w:val="0"/>
              <w:autoSpaceDN w:val="0"/>
              <w:spacing w:before="20" w:after="20"/>
              <w:jc w:val="left"/>
              <w:textAlignment w:val="baseline"/>
              <w:rPr>
                <w:b/>
              </w:rPr>
            </w:pPr>
          </w:p>
        </w:tc>
        <w:tc>
          <w:tcPr>
            <w:tcW w:w="6728" w:type="dxa"/>
            <w:tcBorders>
              <w:top w:val="single" w:sz="4" w:space="0" w:color="auto"/>
              <w:bottom w:val="single" w:sz="4" w:space="0" w:color="auto"/>
            </w:tcBorders>
            <w:shd w:val="clear" w:color="auto" w:fill="auto"/>
          </w:tcPr>
          <w:p w14:paraId="6B1D5167" w14:textId="30B6E705" w:rsidR="00CC1F7C" w:rsidRPr="00DE40FC" w:rsidRDefault="00877710" w:rsidP="00067634">
            <w:pPr>
              <w:pStyle w:val="MarginText"/>
              <w:overflowPunct w:val="0"/>
              <w:autoSpaceDE w:val="0"/>
              <w:autoSpaceDN w:val="0"/>
              <w:spacing w:before="20" w:after="20"/>
              <w:textAlignment w:val="baseline"/>
            </w:pPr>
            <w:r w:rsidRPr="00DE40FC">
              <w:t xml:space="preserve">[  ] </w:t>
            </w:r>
            <w:r w:rsidR="00BD06D9">
              <w:t>Appendix </w:t>
            </w:r>
            <w:r w:rsidR="00370758">
              <w:t>2</w:t>
            </w:r>
            <w:r w:rsidRPr="00DE40FC">
              <w:t xml:space="preserve"> – </w:t>
            </w:r>
            <w:r w:rsidR="00AB3B92" w:rsidRPr="00084B53">
              <w:t>Greenhouse Gas Protocol</w:t>
            </w:r>
          </w:p>
          <w:p w14:paraId="7BE6D4BA" w14:textId="14CD9463" w:rsidR="00877710" w:rsidRPr="00DE40FC" w:rsidRDefault="00877710" w:rsidP="00067634">
            <w:pPr>
              <w:pStyle w:val="MarginText"/>
              <w:overflowPunct w:val="0"/>
              <w:autoSpaceDE w:val="0"/>
              <w:autoSpaceDN w:val="0"/>
              <w:spacing w:before="20" w:after="20"/>
              <w:textAlignment w:val="baseline"/>
              <w:rPr>
                <w:iCs/>
              </w:rPr>
            </w:pPr>
            <w:r w:rsidRPr="00DE40FC">
              <w:rPr>
                <w:iCs/>
              </w:rPr>
              <w:t>[</w:t>
            </w:r>
            <w:r w:rsidRPr="00DE40FC">
              <w:t>  </w:t>
            </w:r>
            <w:r w:rsidRPr="00DE40FC">
              <w:rPr>
                <w:iCs/>
              </w:rPr>
              <w:t xml:space="preserve">] </w:t>
            </w:r>
            <w:r w:rsidR="00534BEB" w:rsidRPr="00534BEB">
              <w:t>Appendix </w:t>
            </w:r>
            <w:r w:rsidR="00370758">
              <w:t>3</w:t>
            </w:r>
            <w:r w:rsidRPr="00DE40FC">
              <w:rPr>
                <w:iCs/>
              </w:rPr>
              <w:t xml:space="preserve"> – EU ETS Scheme (as transposed by Applicable Law)</w:t>
            </w:r>
          </w:p>
          <w:p w14:paraId="4880F031" w14:textId="145AE01E" w:rsidR="00702E31" w:rsidRPr="00DB186E" w:rsidRDefault="00877710" w:rsidP="00702E31">
            <w:pPr>
              <w:pStyle w:val="MarginText"/>
              <w:overflowPunct w:val="0"/>
              <w:autoSpaceDE w:val="0"/>
              <w:autoSpaceDN w:val="0"/>
              <w:spacing w:before="20" w:after="20"/>
              <w:textAlignment w:val="baseline"/>
              <w:rPr>
                <w:iCs/>
              </w:rPr>
            </w:pPr>
            <w:r w:rsidRPr="00DB186E">
              <w:rPr>
                <w:iCs/>
              </w:rPr>
              <w:t>[</w:t>
            </w:r>
            <w:r w:rsidRPr="00DB186E">
              <w:t>  </w:t>
            </w:r>
            <w:r w:rsidRPr="00DB186E">
              <w:rPr>
                <w:iCs/>
              </w:rPr>
              <w:t xml:space="preserve">] </w:t>
            </w:r>
            <w:r w:rsidR="00534BEB" w:rsidRPr="00534BEB">
              <w:t>Appendix </w:t>
            </w:r>
            <w:r w:rsidR="00370758">
              <w:t>4</w:t>
            </w:r>
            <w:r w:rsidR="00702E31" w:rsidRPr="00DB186E">
              <w:rPr>
                <w:iCs/>
              </w:rPr>
              <w:t xml:space="preserve"> – National Fuels Quota Scheme</w:t>
            </w:r>
          </w:p>
          <w:p w14:paraId="661544D6" w14:textId="34A20EF5" w:rsidR="00702E31" w:rsidRPr="00DE40FC" w:rsidRDefault="00702E31" w:rsidP="00702E31">
            <w:pPr>
              <w:pStyle w:val="MarginText"/>
              <w:overflowPunct w:val="0"/>
              <w:autoSpaceDE w:val="0"/>
              <w:autoSpaceDN w:val="0"/>
              <w:spacing w:before="20" w:after="20"/>
              <w:textAlignment w:val="baseline"/>
              <w:rPr>
                <w:iCs/>
              </w:rPr>
            </w:pPr>
            <w:r w:rsidRPr="00DE40FC">
              <w:rPr>
                <w:iCs/>
              </w:rPr>
              <w:t>[</w:t>
            </w:r>
            <w:r w:rsidRPr="00DE40FC">
              <w:t>  </w:t>
            </w:r>
            <w:r w:rsidRPr="00DE40FC">
              <w:rPr>
                <w:iCs/>
              </w:rPr>
              <w:t xml:space="preserve">] </w:t>
            </w:r>
            <w:r w:rsidR="00534BEB" w:rsidRPr="00534BEB">
              <w:t>Appendix </w:t>
            </w:r>
            <w:r w:rsidR="00370758">
              <w:t>5</w:t>
            </w:r>
            <w:r w:rsidRPr="00DE40FC">
              <w:rPr>
                <w:iCs/>
              </w:rPr>
              <w:t xml:space="preserve"> – National Emissions Trading Scheme</w:t>
            </w:r>
          </w:p>
          <w:p w14:paraId="0219AC9E" w14:textId="49EE60E1" w:rsidR="00E27CA4" w:rsidRDefault="00E27CA4" w:rsidP="00702E31">
            <w:pPr>
              <w:pStyle w:val="MarginText"/>
              <w:overflowPunct w:val="0"/>
              <w:autoSpaceDE w:val="0"/>
              <w:autoSpaceDN w:val="0"/>
              <w:spacing w:before="20" w:after="20"/>
              <w:textAlignment w:val="baseline"/>
              <w:rPr>
                <w:i/>
              </w:rPr>
            </w:pPr>
            <w:r w:rsidRPr="00DE40FC">
              <w:rPr>
                <w:iCs/>
              </w:rPr>
              <w:t xml:space="preserve">[  ] other: </w:t>
            </w:r>
            <w:r w:rsidRPr="00DE40FC">
              <w:rPr>
                <w:i/>
              </w:rPr>
              <w:t>[specify</w:t>
            </w:r>
            <w:r w:rsidR="004B1C43">
              <w:rPr>
                <w:i/>
              </w:rPr>
              <w:t>, if applicable</w:t>
            </w:r>
            <w:r w:rsidRPr="00DE40FC">
              <w:rPr>
                <w:i/>
              </w:rPr>
              <w:t>]</w:t>
            </w:r>
          </w:p>
          <w:p w14:paraId="6C53CAB5" w14:textId="590783EF" w:rsidR="00F60304" w:rsidRPr="00F60304" w:rsidRDefault="00F60304" w:rsidP="00702E31">
            <w:pPr>
              <w:pStyle w:val="MarginText"/>
              <w:overflowPunct w:val="0"/>
              <w:autoSpaceDE w:val="0"/>
              <w:autoSpaceDN w:val="0"/>
              <w:spacing w:before="20" w:after="20"/>
              <w:textAlignment w:val="baseline"/>
              <w:rPr>
                <w:iCs/>
              </w:rPr>
            </w:pPr>
            <w:r>
              <w:rPr>
                <w:iCs/>
              </w:rPr>
              <w:t>[  ] none of the above</w:t>
            </w:r>
          </w:p>
        </w:tc>
      </w:tr>
      <w:tr w:rsidR="00CC1F7C" w14:paraId="3A345B03" w14:textId="77777777" w:rsidTr="00067634">
        <w:tc>
          <w:tcPr>
            <w:tcW w:w="2344" w:type="dxa"/>
            <w:tcBorders>
              <w:top w:val="single" w:sz="4" w:space="0" w:color="auto"/>
              <w:bottom w:val="single" w:sz="4" w:space="0" w:color="auto"/>
            </w:tcBorders>
            <w:shd w:val="clear" w:color="auto" w:fill="auto"/>
          </w:tcPr>
          <w:p w14:paraId="75A7B78C" w14:textId="240C28FC" w:rsidR="00CC1F7C" w:rsidRDefault="00CC1F7C" w:rsidP="00CC1F7C">
            <w:pPr>
              <w:pStyle w:val="MarginText"/>
              <w:overflowPunct w:val="0"/>
              <w:autoSpaceDE w:val="0"/>
              <w:autoSpaceDN w:val="0"/>
              <w:spacing w:before="20" w:after="20"/>
              <w:jc w:val="left"/>
              <w:textAlignment w:val="baseline"/>
              <w:rPr>
                <w:b/>
              </w:rPr>
            </w:pPr>
            <w:r w:rsidRPr="00733F9D">
              <w:rPr>
                <w:b/>
              </w:rPr>
              <w:t>Delivery Point:</w:t>
            </w:r>
          </w:p>
        </w:tc>
        <w:tc>
          <w:tcPr>
            <w:tcW w:w="6728" w:type="dxa"/>
            <w:tcBorders>
              <w:top w:val="single" w:sz="4" w:space="0" w:color="auto"/>
              <w:bottom w:val="single" w:sz="4" w:space="0" w:color="auto"/>
            </w:tcBorders>
            <w:shd w:val="clear" w:color="auto" w:fill="auto"/>
          </w:tcPr>
          <w:p w14:paraId="018D1641" w14:textId="281574E0" w:rsidR="00CC1F7C" w:rsidRPr="000235A3" w:rsidRDefault="00CC1F7C" w:rsidP="00CC1F7C">
            <w:pPr>
              <w:pStyle w:val="MarginText"/>
              <w:tabs>
                <w:tab w:val="left" w:pos="779"/>
              </w:tabs>
              <w:overflowPunct w:val="0"/>
              <w:autoSpaceDE w:val="0"/>
              <w:autoSpaceDN w:val="0"/>
              <w:spacing w:before="20" w:after="20"/>
              <w:textAlignment w:val="baseline"/>
            </w:pPr>
            <w:r>
              <w:t>with respect to Transfer of Certificates by Electronic Transfer (if applicable):</w:t>
            </w:r>
            <w:r>
              <w:br/>
            </w:r>
            <w:r w:rsidRPr="00DF68FA">
              <w:tab/>
            </w:r>
            <w:r>
              <w:t xml:space="preserve">[  ] ____________________ </w:t>
            </w:r>
            <w:r w:rsidRPr="004708CD">
              <w:rPr>
                <w:i/>
              </w:rPr>
              <w:t>[</w:t>
            </w:r>
            <w:r>
              <w:rPr>
                <w:i/>
              </w:rPr>
              <w:t>specify]</w:t>
            </w:r>
            <w:r>
              <w:t xml:space="preserve">; </w:t>
            </w:r>
            <w:r>
              <w:br/>
            </w:r>
            <w:r w:rsidRPr="00DF68FA">
              <w:tab/>
            </w:r>
            <w:r>
              <w:rPr>
                <w:b/>
                <w:i/>
              </w:rPr>
              <w:t xml:space="preserve">otherwise </w:t>
            </w:r>
            <w:r>
              <w:t>Buyer's Account</w:t>
            </w:r>
          </w:p>
          <w:p w14:paraId="3E396068" w14:textId="2ACDE5CC" w:rsidR="00CC1F7C" w:rsidRPr="00DF68FA" w:rsidRDefault="00CC1F7C" w:rsidP="00CC1F7C">
            <w:pPr>
              <w:pStyle w:val="MarginText"/>
              <w:overflowPunct w:val="0"/>
              <w:autoSpaceDE w:val="0"/>
              <w:autoSpaceDN w:val="0"/>
              <w:spacing w:before="20" w:after="20"/>
              <w:textAlignment w:val="baseline"/>
              <w:rPr>
                <w:i/>
              </w:rPr>
            </w:pPr>
            <w:r>
              <w:t>with respect to Cancellation Statements (if applicable):</w:t>
            </w:r>
            <w:r>
              <w:br/>
              <w:t xml:space="preserve">[  ] ____________________ </w:t>
            </w:r>
            <w:r w:rsidRPr="0077338C">
              <w:rPr>
                <w:i/>
              </w:rPr>
              <w:t>[</w:t>
            </w:r>
            <w:r>
              <w:rPr>
                <w:i/>
              </w:rPr>
              <w:t>specify]</w:t>
            </w:r>
            <w:r>
              <w:t xml:space="preserve">; </w:t>
            </w:r>
            <w:r>
              <w:br/>
            </w:r>
            <w:r>
              <w:rPr>
                <w:b/>
                <w:i/>
              </w:rPr>
              <w:t xml:space="preserve">otherwise </w:t>
            </w:r>
            <w:r w:rsidRPr="004708CD">
              <w:t>rece</w:t>
            </w:r>
            <w:r>
              <w:t xml:space="preserve">ipt of email (with copy of Cancellation Statement attached) by Buyer </w:t>
            </w:r>
            <w:r w:rsidRPr="008800F1">
              <w:t xml:space="preserve">in accordance with </w:t>
            </w:r>
            <w:r w:rsidR="00A730A1" w:rsidRPr="00A730A1">
              <w:t>§ 19.1</w:t>
            </w:r>
            <w:r w:rsidR="00135528">
              <w:t xml:space="preserve"> </w:t>
            </w:r>
            <w:r w:rsidRPr="008800F1">
              <w:t>(</w:t>
            </w:r>
            <w:r w:rsidRPr="008800F1">
              <w:rPr>
                <w:i/>
              </w:rPr>
              <w:t>Notices and Communications</w:t>
            </w:r>
            <w:r w:rsidRPr="008800F1">
              <w:t>)</w:t>
            </w:r>
          </w:p>
        </w:tc>
      </w:tr>
      <w:tr w:rsidR="00CC1F7C" w14:paraId="649ED74F" w14:textId="77777777" w:rsidTr="00067634">
        <w:tc>
          <w:tcPr>
            <w:tcW w:w="2344" w:type="dxa"/>
            <w:tcBorders>
              <w:top w:val="single" w:sz="4" w:space="0" w:color="auto"/>
              <w:bottom w:val="single" w:sz="4" w:space="0" w:color="auto"/>
            </w:tcBorders>
            <w:shd w:val="clear" w:color="auto" w:fill="auto"/>
          </w:tcPr>
          <w:p w14:paraId="44554D2B" w14:textId="77777777" w:rsidR="00CC1F7C" w:rsidRDefault="00CC1F7C" w:rsidP="00CC1F7C">
            <w:pPr>
              <w:pStyle w:val="MarginText"/>
              <w:overflowPunct w:val="0"/>
              <w:autoSpaceDE w:val="0"/>
              <w:autoSpaceDN w:val="0"/>
              <w:spacing w:before="20" w:after="20"/>
              <w:jc w:val="left"/>
              <w:textAlignment w:val="baseline"/>
              <w:rPr>
                <w:b/>
              </w:rPr>
            </w:pPr>
            <w:r>
              <w:rPr>
                <w:b/>
              </w:rPr>
              <w:lastRenderedPageBreak/>
              <w:t>Documentation of Actual Deliveries and Receipts:</w:t>
            </w:r>
          </w:p>
        </w:tc>
        <w:tc>
          <w:tcPr>
            <w:tcW w:w="6728" w:type="dxa"/>
            <w:tcBorders>
              <w:top w:val="single" w:sz="4" w:space="0" w:color="auto"/>
              <w:bottom w:val="single" w:sz="4" w:space="0" w:color="auto"/>
            </w:tcBorders>
            <w:shd w:val="clear" w:color="auto" w:fill="auto"/>
          </w:tcPr>
          <w:p w14:paraId="177E5566" w14:textId="4540880B" w:rsidR="00CC1F7C" w:rsidRPr="00DF68FA" w:rsidRDefault="00CC1F7C" w:rsidP="00CC1F7C">
            <w:pPr>
              <w:pStyle w:val="MarginText"/>
              <w:overflowPunct w:val="0"/>
              <w:autoSpaceDE w:val="0"/>
              <w:autoSpaceDN w:val="0"/>
              <w:spacing w:before="20" w:after="20"/>
              <w:textAlignment w:val="baseline"/>
              <w:rPr>
                <w:i/>
              </w:rPr>
            </w:pPr>
            <w:r>
              <w:rPr>
                <w:i/>
              </w:rPr>
              <w:t xml:space="preserve">[specify in accordance with </w:t>
            </w:r>
            <w:r w:rsidR="00A730A1" w:rsidRPr="00A730A1">
              <w:rPr>
                <w:i/>
              </w:rPr>
              <w:t>§ 3.4</w:t>
            </w:r>
            <w:r>
              <w:rPr>
                <w:i/>
              </w:rPr>
              <w:t>, if applicable]</w:t>
            </w:r>
          </w:p>
        </w:tc>
      </w:tr>
      <w:tr w:rsidR="00CC1F7C" w14:paraId="40030F1A" w14:textId="77777777" w:rsidTr="00067634">
        <w:tc>
          <w:tcPr>
            <w:tcW w:w="2344" w:type="dxa"/>
            <w:tcBorders>
              <w:top w:val="single" w:sz="4" w:space="0" w:color="auto"/>
              <w:bottom w:val="single" w:sz="4" w:space="0" w:color="auto"/>
            </w:tcBorders>
            <w:shd w:val="clear" w:color="auto" w:fill="auto"/>
          </w:tcPr>
          <w:p w14:paraId="3CB6E6D0" w14:textId="77777777" w:rsidR="00CC1F7C" w:rsidRDefault="00CC1F7C" w:rsidP="00CC1F7C">
            <w:pPr>
              <w:pStyle w:val="MarginText"/>
              <w:overflowPunct w:val="0"/>
              <w:autoSpaceDE w:val="0"/>
              <w:autoSpaceDN w:val="0"/>
              <w:spacing w:before="20" w:after="20"/>
              <w:textAlignment w:val="baseline"/>
              <w:rPr>
                <w:b/>
              </w:rPr>
            </w:pPr>
            <w:r w:rsidRPr="00DF68FA">
              <w:rPr>
                <w:b/>
              </w:rPr>
              <w:t>Additional requirements:</w:t>
            </w:r>
          </w:p>
          <w:p w14:paraId="4FC18FBB" w14:textId="77777777" w:rsidR="00CC1F7C" w:rsidRDefault="00CC1F7C" w:rsidP="00CC1F7C">
            <w:pPr>
              <w:pStyle w:val="MarginText"/>
              <w:overflowPunct w:val="0"/>
              <w:autoSpaceDE w:val="0"/>
              <w:autoSpaceDN w:val="0"/>
              <w:spacing w:before="20" w:after="20"/>
              <w:jc w:val="left"/>
              <w:textAlignment w:val="baseline"/>
              <w:rPr>
                <w:b/>
              </w:rPr>
            </w:pPr>
          </w:p>
        </w:tc>
        <w:tc>
          <w:tcPr>
            <w:tcW w:w="6728" w:type="dxa"/>
            <w:tcBorders>
              <w:top w:val="single" w:sz="4" w:space="0" w:color="auto"/>
              <w:bottom w:val="single" w:sz="4" w:space="0" w:color="auto"/>
            </w:tcBorders>
            <w:shd w:val="clear" w:color="auto" w:fill="auto"/>
          </w:tcPr>
          <w:p w14:paraId="4FB3CE6D" w14:textId="77777777" w:rsidR="00CC1F7C" w:rsidRDefault="00CC1F7C" w:rsidP="00CC1F7C">
            <w:pPr>
              <w:pStyle w:val="MarginText"/>
              <w:overflowPunct w:val="0"/>
              <w:autoSpaceDE w:val="0"/>
              <w:autoSpaceDN w:val="0"/>
              <w:spacing w:before="20" w:after="20"/>
              <w:textAlignment w:val="baseline"/>
              <w:rPr>
                <w:i/>
              </w:rPr>
            </w:pPr>
            <w:r>
              <w:rPr>
                <w:i/>
              </w:rPr>
              <w:t>[specify, if any]</w:t>
            </w:r>
          </w:p>
        </w:tc>
      </w:tr>
    </w:tbl>
    <w:p w14:paraId="6AB28AB1" w14:textId="77777777" w:rsidR="00CC1F7C" w:rsidRPr="004746B8" w:rsidRDefault="00CC1F7C" w:rsidP="00570EE9">
      <w:pPr>
        <w:pStyle w:val="MarginText"/>
        <w:tabs>
          <w:tab w:val="left" w:pos="1985"/>
        </w:tabs>
        <w:ind w:left="1985" w:hanging="1985"/>
      </w:pPr>
    </w:p>
    <w:p w14:paraId="4BACA10A" w14:textId="7976B531" w:rsidR="004746B8" w:rsidRDefault="004746B8" w:rsidP="004746B8">
      <w:pPr>
        <w:pStyle w:val="MarginText"/>
        <w:rPr>
          <w:b/>
        </w:rPr>
      </w:pPr>
    </w:p>
    <w:tbl>
      <w:tblPr>
        <w:tblStyle w:val="TableGrid"/>
        <w:tblW w:w="0" w:type="auto"/>
        <w:shd w:val="clear" w:color="auto" w:fill="E7E6E6" w:themeFill="background2"/>
        <w:tblLook w:val="04A0" w:firstRow="1" w:lastRow="0" w:firstColumn="1" w:lastColumn="0" w:noHBand="0" w:noVBand="1"/>
      </w:tblPr>
      <w:tblGrid>
        <w:gridCol w:w="9019"/>
      </w:tblGrid>
      <w:tr w:rsidR="007F1A0E" w14:paraId="7A967F2C" w14:textId="77777777" w:rsidTr="007F1A0E">
        <w:tc>
          <w:tcPr>
            <w:tcW w:w="9019" w:type="dxa"/>
            <w:shd w:val="clear" w:color="auto" w:fill="E7E6E6" w:themeFill="background2"/>
          </w:tcPr>
          <w:p w14:paraId="0BA6018F" w14:textId="205DAD38" w:rsidR="007F1A0E" w:rsidRDefault="007F1A0E" w:rsidP="007F1A0E">
            <w:pPr>
              <w:pStyle w:val="MarginText"/>
              <w:spacing w:after="0"/>
              <w:jc w:val="center"/>
              <w:rPr>
                <w:b/>
              </w:rPr>
            </w:pPr>
            <w:r>
              <w:rPr>
                <w:b/>
              </w:rPr>
              <w:t>SECTION</w:t>
            </w:r>
            <w:r w:rsidRPr="00DF68FA">
              <w:rPr>
                <w:b/>
              </w:rPr>
              <w:t xml:space="preserve"> </w:t>
            </w:r>
            <w:r>
              <w:rPr>
                <w:b/>
              </w:rPr>
              <w:t>B</w:t>
            </w:r>
            <w:r w:rsidRPr="00DF68FA">
              <w:rPr>
                <w:b/>
              </w:rPr>
              <w:t xml:space="preserve">: </w:t>
            </w:r>
            <w:r>
              <w:rPr>
                <w:b/>
              </w:rPr>
              <w:t>ELECTION SHEET</w:t>
            </w:r>
          </w:p>
        </w:tc>
      </w:tr>
    </w:tbl>
    <w:p w14:paraId="6D964C2C" w14:textId="77777777" w:rsidR="004746B8" w:rsidRDefault="004746B8" w:rsidP="007F1A0E">
      <w:pPr>
        <w:pStyle w:val="MarginText"/>
        <w:spacing w:after="0"/>
      </w:pPr>
    </w:p>
    <w:p w14:paraId="5239A170" w14:textId="0DDC0F62" w:rsidR="002E1753" w:rsidRDefault="002E1753" w:rsidP="004746B8">
      <w:pPr>
        <w:pStyle w:val="MarginText"/>
        <w:spacing w:after="0"/>
        <w:jc w:val="center"/>
      </w:pPr>
      <w:r>
        <w:t>For the customization of the Biogas Certificates Standard Agreement for Single Trade</w:t>
      </w:r>
    </w:p>
    <w:p w14:paraId="15078FFA" w14:textId="77777777" w:rsidR="002E1753" w:rsidRDefault="002E1753" w:rsidP="004746B8">
      <w:pPr>
        <w:pStyle w:val="MarginText"/>
        <w:spacing w:after="0"/>
        <w:jc w:val="center"/>
      </w:pPr>
    </w:p>
    <w:p w14:paraId="256F3611" w14:textId="312ACE50" w:rsidR="004746B8" w:rsidRPr="002E1753" w:rsidRDefault="004746B8" w:rsidP="004746B8">
      <w:pPr>
        <w:pStyle w:val="MarginText"/>
        <w:spacing w:after="0"/>
        <w:jc w:val="center"/>
      </w:pPr>
      <w:r w:rsidRPr="002E1753">
        <w:t>between………………………… and…………………………………….</w:t>
      </w:r>
    </w:p>
    <w:p w14:paraId="3679E9DE" w14:textId="77777777" w:rsidR="004746B8" w:rsidRPr="00DF68FA" w:rsidRDefault="004746B8" w:rsidP="004746B8">
      <w:pPr>
        <w:pStyle w:val="MarginText"/>
        <w:tabs>
          <w:tab w:val="left" w:pos="5580"/>
        </w:tabs>
        <w:ind w:left="2610"/>
        <w:jc w:val="left"/>
        <w:rPr>
          <w:b/>
        </w:rPr>
      </w:pPr>
      <w:r w:rsidRPr="002E1753">
        <w:rPr>
          <w:b/>
        </w:rPr>
        <w:t>("Party A")</w:t>
      </w:r>
      <w:r w:rsidRPr="002E1753">
        <w:rPr>
          <w:b/>
        </w:rPr>
        <w:tab/>
        <w:t>("Party B")</w:t>
      </w:r>
    </w:p>
    <w:p w14:paraId="62E2FC2F" w14:textId="77777777" w:rsidR="004F624A" w:rsidRPr="00DF68FA" w:rsidRDefault="004F624A" w:rsidP="00CA5C32">
      <w:pPr>
        <w:pStyle w:val="MarginText"/>
        <w:jc w:val="center"/>
        <w:rPr>
          <w:b/>
        </w:rPr>
      </w:pPr>
    </w:p>
    <w:p w14:paraId="5551A905" w14:textId="027821E1" w:rsidR="00CA5C32" w:rsidRDefault="00A730A1" w:rsidP="00CA5C32">
      <w:pPr>
        <w:pStyle w:val="MarginText"/>
        <w:keepNext/>
        <w:jc w:val="center"/>
        <w:rPr>
          <w:b/>
          <w:u w:val="single"/>
        </w:rPr>
      </w:pPr>
      <w:r w:rsidRPr="00A730A1">
        <w:rPr>
          <w:b/>
        </w:rPr>
        <w:t>§ 3</w:t>
      </w:r>
      <w:r w:rsidR="00CA5C32" w:rsidRPr="00DF68FA">
        <w:rPr>
          <w:b/>
        </w:rPr>
        <w:br/>
      </w:r>
      <w:r w:rsidR="00CA5C32" w:rsidRPr="00DF68FA">
        <w:rPr>
          <w:b/>
          <w:u w:val="single"/>
        </w:rPr>
        <w:t>Primary Obligations For Delivery and Acceptance of Certificates</w:t>
      </w:r>
    </w:p>
    <w:p w14:paraId="38CDFD9B" w14:textId="328EE123" w:rsidR="00CA5C32" w:rsidRPr="00DF68FA" w:rsidRDefault="00A730A1" w:rsidP="00CA5C32">
      <w:pPr>
        <w:pStyle w:val="MarginText"/>
        <w:tabs>
          <w:tab w:val="left" w:pos="2880"/>
        </w:tabs>
        <w:rPr>
          <w:b/>
        </w:rPr>
      </w:pPr>
      <w:r w:rsidRPr="00A730A1">
        <w:rPr>
          <w:b/>
        </w:rPr>
        <w:t>§ 3.2</w:t>
      </w:r>
      <w:r w:rsidR="00C349BD">
        <w:rPr>
          <w:b/>
        </w:rPr>
        <w:t xml:space="preserve"> Electronic Transfer of Certificates</w:t>
      </w:r>
      <w:r w:rsidR="00CA5C32" w:rsidRPr="00DF68FA">
        <w:rPr>
          <w:b/>
        </w:rPr>
        <w:t>:</w:t>
      </w:r>
    </w:p>
    <w:p w14:paraId="7772120A" w14:textId="5934C512" w:rsidR="00CA5C32" w:rsidRDefault="00CA5C32" w:rsidP="00C349BD">
      <w:pPr>
        <w:pStyle w:val="MarginText"/>
        <w:tabs>
          <w:tab w:val="left" w:pos="2880"/>
        </w:tabs>
        <w:spacing w:after="0"/>
      </w:pPr>
      <w:r w:rsidRPr="00DF68FA">
        <w:tab/>
      </w:r>
      <w:r w:rsidR="00C349BD" w:rsidRPr="00DF68FA">
        <w:t>[  ] </w:t>
      </w:r>
      <w:r w:rsidR="00A730A1" w:rsidRPr="00A730A1">
        <w:t>§ 3.2</w:t>
      </w:r>
      <w:r w:rsidR="00C349BD">
        <w:t xml:space="preserve"> shall apply;</w:t>
      </w:r>
    </w:p>
    <w:p w14:paraId="11F98C64" w14:textId="7FB102CC" w:rsidR="00C349BD" w:rsidRPr="00DF68FA" w:rsidRDefault="00C349BD" w:rsidP="00C349BD">
      <w:pPr>
        <w:pStyle w:val="MarginText"/>
        <w:tabs>
          <w:tab w:val="left" w:pos="2880"/>
        </w:tabs>
        <w:spacing w:after="0"/>
      </w:pPr>
      <w:r>
        <w:tab/>
      </w:r>
      <w:r w:rsidRPr="00C349BD">
        <w:rPr>
          <w:b/>
          <w:bCs/>
          <w:i/>
          <w:iCs/>
        </w:rPr>
        <w:t>otherwise</w:t>
      </w:r>
      <w:r>
        <w:t xml:space="preserve"> </w:t>
      </w:r>
      <w:r w:rsidR="00A730A1" w:rsidRPr="00A730A1">
        <w:t>§ 3.2</w:t>
      </w:r>
      <w:r>
        <w:t xml:space="preserve"> shall not apply and </w:t>
      </w:r>
      <w:r w:rsidR="00A730A1" w:rsidRPr="00A730A1">
        <w:t>§ 3.3</w:t>
      </w:r>
      <w:r>
        <w:t xml:space="preserve"> shall apply.</w:t>
      </w:r>
    </w:p>
    <w:p w14:paraId="6E2B06B0" w14:textId="77777777" w:rsidR="00CA5C32" w:rsidRDefault="00CA5C32" w:rsidP="00380E12">
      <w:pPr>
        <w:pStyle w:val="MarginText"/>
        <w:jc w:val="center"/>
        <w:rPr>
          <w:b/>
        </w:rPr>
      </w:pPr>
    </w:p>
    <w:p w14:paraId="735BD500" w14:textId="31038B5A" w:rsidR="00CA5C32" w:rsidRPr="00DF68FA" w:rsidRDefault="00A730A1" w:rsidP="00CA5C32">
      <w:pPr>
        <w:pStyle w:val="MarginText"/>
        <w:keepNext/>
        <w:jc w:val="center"/>
        <w:rPr>
          <w:b/>
          <w:u w:val="single"/>
        </w:rPr>
      </w:pPr>
      <w:r w:rsidRPr="00A730A1">
        <w:rPr>
          <w:b/>
          <w:bCs/>
          <w:snapToGrid w:val="0"/>
        </w:rPr>
        <w:t>§ 5</w:t>
      </w:r>
      <w:r w:rsidR="00CE72DC" w:rsidDel="00CE72DC">
        <w:rPr>
          <w:rStyle w:val="FootnoteReference"/>
          <w:b/>
        </w:rPr>
        <w:t xml:space="preserve"> </w:t>
      </w:r>
      <w:r w:rsidR="00CA5C32" w:rsidRPr="00DF68FA">
        <w:rPr>
          <w:b/>
        </w:rPr>
        <w:br/>
      </w:r>
      <w:r w:rsidR="00CA5C32" w:rsidRPr="00DF68FA">
        <w:rPr>
          <w:b/>
          <w:u w:val="single"/>
        </w:rPr>
        <w:t>Non-Performance Due to Force Majeure</w:t>
      </w:r>
    </w:p>
    <w:p w14:paraId="250765A0" w14:textId="237C9085" w:rsidR="00CA5C32" w:rsidRPr="00DF68FA" w:rsidRDefault="00370758" w:rsidP="00CA5C32">
      <w:pPr>
        <w:pStyle w:val="MarginText"/>
        <w:tabs>
          <w:tab w:val="left" w:pos="2880"/>
        </w:tabs>
        <w:rPr>
          <w:b/>
        </w:rPr>
      </w:pPr>
      <w:r w:rsidRPr="00A730A1">
        <w:rPr>
          <w:b/>
        </w:rPr>
        <w:t xml:space="preserve">§ </w:t>
      </w:r>
      <w:r>
        <w:rPr>
          <w:b/>
        </w:rPr>
        <w:t>5.1</w:t>
      </w:r>
      <w:r w:rsidR="00D2137D">
        <w:rPr>
          <w:b/>
        </w:rPr>
        <w:t xml:space="preserve"> </w:t>
      </w:r>
      <w:r w:rsidR="00CA5C32" w:rsidRPr="00DF68FA">
        <w:rPr>
          <w:b/>
        </w:rPr>
        <w:t>Definition of Force Majeure:</w:t>
      </w:r>
    </w:p>
    <w:p w14:paraId="27D27215" w14:textId="35FD5455" w:rsidR="00CA5C32" w:rsidRPr="00DF68FA" w:rsidRDefault="00CA5C32" w:rsidP="00CA5C32">
      <w:pPr>
        <w:pStyle w:val="MarginText"/>
        <w:spacing w:after="0"/>
        <w:ind w:left="2880"/>
        <w:jc w:val="left"/>
      </w:pPr>
      <w:r w:rsidRPr="00D2137D">
        <w:t>[  ] </w:t>
      </w:r>
      <w:r w:rsidR="00A730A1" w:rsidRPr="00A730A1">
        <w:t>§ 5.1</w:t>
      </w:r>
      <w:r w:rsidR="00D2137D" w:rsidRPr="00D2137D">
        <w:t xml:space="preserve"> </w:t>
      </w:r>
      <w:r w:rsidR="00370758">
        <w:t>(a)</w:t>
      </w:r>
      <w:r w:rsidRPr="00D2137D">
        <w:t xml:space="preserve">, </w:t>
      </w:r>
      <w:r w:rsidR="00370758">
        <w:t>(b)</w:t>
      </w:r>
      <w:r>
        <w:t xml:space="preserve">, </w:t>
      </w:r>
      <w:r w:rsidR="00370758">
        <w:t>(c)</w:t>
      </w:r>
      <w:r w:rsidR="001C200F">
        <w:t>,</w:t>
      </w:r>
      <w:r>
        <w:t xml:space="preserve"> </w:t>
      </w:r>
      <w:r w:rsidR="00370758">
        <w:t>(d)</w:t>
      </w:r>
      <w:r w:rsidRPr="00DF68FA">
        <w:t xml:space="preserve"> </w:t>
      </w:r>
      <w:r w:rsidR="001C200F">
        <w:t xml:space="preserve">or </w:t>
      </w:r>
      <w:r w:rsidR="00370758">
        <w:t>(e)</w:t>
      </w:r>
      <w:r w:rsidR="001C200F">
        <w:t xml:space="preserve"> </w:t>
      </w:r>
      <w:r w:rsidRPr="00DF68FA">
        <w:t xml:space="preserve">shall </w:t>
      </w:r>
      <w:r w:rsidRPr="00DF68FA">
        <w:rPr>
          <w:u w:val="single"/>
        </w:rPr>
        <w:t>not</w:t>
      </w:r>
      <w:r w:rsidRPr="00DF68FA">
        <w:t xml:space="preserve"> apply as written but instead shall be as follows:</w:t>
      </w:r>
      <w:r w:rsidRPr="00DF68FA">
        <w:br/>
        <w:t>_______________________________________________;</w:t>
      </w:r>
    </w:p>
    <w:p w14:paraId="271EA3A0" w14:textId="62CCDF3B" w:rsidR="00CA5C32" w:rsidRDefault="00CA5C32" w:rsidP="00B84DEC">
      <w:pPr>
        <w:pStyle w:val="MarginText"/>
        <w:spacing w:after="0"/>
        <w:ind w:left="2880"/>
        <w:jc w:val="left"/>
      </w:pPr>
      <w:r w:rsidRPr="00DF68FA">
        <w:rPr>
          <w:b/>
          <w:i/>
        </w:rPr>
        <w:t xml:space="preserve">otherwise </w:t>
      </w:r>
      <w:r w:rsidR="00A730A1" w:rsidRPr="00A730A1">
        <w:rPr>
          <w:bCs/>
        </w:rPr>
        <w:t>§ 5.1</w:t>
      </w:r>
      <w:r w:rsidR="00A730A1">
        <w:rPr>
          <w:bCs/>
        </w:rPr>
        <w:t xml:space="preserve"> </w:t>
      </w:r>
      <w:r w:rsidRPr="00DF68FA">
        <w:t xml:space="preserve">shall apply as written in the </w:t>
      </w:r>
      <w:r w:rsidR="00C7113A">
        <w:t>Biogas Certificates Standard Agreement</w:t>
      </w:r>
      <w:r w:rsidR="00CE72DC">
        <w:t>.</w:t>
      </w:r>
    </w:p>
    <w:p w14:paraId="102C2045" w14:textId="3D6CD2FE" w:rsidR="009C5840" w:rsidRDefault="009C5840" w:rsidP="009C5840">
      <w:pPr>
        <w:pStyle w:val="MarginText"/>
        <w:spacing w:after="0"/>
        <w:jc w:val="left"/>
      </w:pPr>
    </w:p>
    <w:p w14:paraId="5E2A5B5A" w14:textId="0E762C7B" w:rsidR="00CA5C32" w:rsidRPr="00DF68FA" w:rsidRDefault="00A730A1" w:rsidP="00CA5C32">
      <w:pPr>
        <w:pStyle w:val="MarginText"/>
        <w:keepNext/>
        <w:jc w:val="center"/>
        <w:rPr>
          <w:b/>
          <w:u w:val="single"/>
        </w:rPr>
      </w:pPr>
      <w:r w:rsidRPr="00A730A1">
        <w:rPr>
          <w:b/>
        </w:rPr>
        <w:t>§ 8</w:t>
      </w:r>
      <w:r w:rsidR="00CA5C32" w:rsidRPr="00DF68FA">
        <w:rPr>
          <w:b/>
        </w:rPr>
        <w:br/>
      </w:r>
      <w:r w:rsidR="00CA5C32" w:rsidRPr="00DF68FA">
        <w:rPr>
          <w:b/>
          <w:u w:val="single"/>
        </w:rPr>
        <w:t>Term and Termination Rights</w:t>
      </w:r>
    </w:p>
    <w:p w14:paraId="3341FF4D" w14:textId="6FBDAB46" w:rsidR="00CA5C32" w:rsidRPr="00DF68FA" w:rsidRDefault="00A730A1" w:rsidP="00CA5C32">
      <w:pPr>
        <w:pStyle w:val="MarginText"/>
        <w:tabs>
          <w:tab w:val="left" w:pos="2880"/>
        </w:tabs>
        <w:rPr>
          <w:b/>
        </w:rPr>
      </w:pPr>
      <w:r w:rsidRPr="00A730A1">
        <w:rPr>
          <w:b/>
        </w:rPr>
        <w:t>§ 8.4(b)</w:t>
      </w:r>
      <w:r w:rsidR="00E91CFE">
        <w:rPr>
          <w:b/>
        </w:rPr>
        <w:t xml:space="preserve"> </w:t>
      </w:r>
      <w:r w:rsidR="00CA5C32" w:rsidRPr="00DF68FA">
        <w:rPr>
          <w:b/>
        </w:rPr>
        <w:t>Cross Default and Acceleration:</w:t>
      </w:r>
    </w:p>
    <w:p w14:paraId="5F0C227C" w14:textId="4BC367AF" w:rsidR="00CA5C32" w:rsidRDefault="00CA5C32" w:rsidP="00CA5C32">
      <w:pPr>
        <w:pStyle w:val="MarginText"/>
        <w:ind w:left="2880"/>
      </w:pPr>
      <w:r w:rsidRPr="00DF68FA">
        <w:t>[  ] </w:t>
      </w:r>
      <w:r w:rsidR="00A730A1" w:rsidRPr="00A730A1">
        <w:t>§ 8.4(b)</w:t>
      </w:r>
      <w:r w:rsidR="00E91CFE">
        <w:t xml:space="preserve"> </w:t>
      </w:r>
      <w:r w:rsidRPr="00DF68FA">
        <w:t xml:space="preserve">shall apply to Party A and the Threshold Amount for Party A shall be: ________________________; </w:t>
      </w:r>
      <w:r w:rsidRPr="00DF68FA">
        <w:br/>
      </w:r>
      <w:r w:rsidRPr="00DF68FA">
        <w:rPr>
          <w:b/>
          <w:i/>
        </w:rPr>
        <w:t xml:space="preserve">otherwise </w:t>
      </w:r>
      <w:r w:rsidR="00E91CFE">
        <w:t xml:space="preserve"> </w:t>
      </w:r>
      <w:r w:rsidR="00A730A1" w:rsidRPr="00A730A1">
        <w:t>§ 8.4(b)</w:t>
      </w:r>
      <w:r w:rsidR="00A730A1">
        <w:t xml:space="preserve"> </w:t>
      </w:r>
      <w:r w:rsidRPr="00DF68FA">
        <w:t xml:space="preserve">shall </w:t>
      </w:r>
      <w:r w:rsidRPr="00DF68FA">
        <w:rPr>
          <w:u w:val="single"/>
        </w:rPr>
        <w:t>not</w:t>
      </w:r>
      <w:r w:rsidRPr="00DF68FA">
        <w:t xml:space="preserve"> apply to Party A</w:t>
      </w:r>
    </w:p>
    <w:p w14:paraId="6F93DA57" w14:textId="637A2179" w:rsidR="00CA5C32" w:rsidRPr="00DF68FA" w:rsidRDefault="00CA5C32" w:rsidP="00CA5C32">
      <w:pPr>
        <w:pStyle w:val="MarginText"/>
        <w:ind w:left="2880"/>
      </w:pPr>
      <w:r w:rsidRPr="00DF68FA">
        <w:t>[  ] </w:t>
      </w:r>
      <w:r w:rsidR="00A730A1" w:rsidRPr="00A730A1">
        <w:t>§ 8.4(b)</w:t>
      </w:r>
      <w:r w:rsidR="00E91CFE">
        <w:t xml:space="preserve"> </w:t>
      </w:r>
      <w:r w:rsidRPr="00DF68FA">
        <w:t xml:space="preserve">shall apply to Party B and the Threshold Amount for Party A shall be: ________________________; </w:t>
      </w:r>
      <w:r w:rsidRPr="00DF68FA">
        <w:br/>
      </w:r>
      <w:r w:rsidRPr="00DF68FA">
        <w:rPr>
          <w:b/>
          <w:i/>
        </w:rPr>
        <w:t>otherwise</w:t>
      </w:r>
      <w:r w:rsidR="00E91CFE">
        <w:t xml:space="preserve"> </w:t>
      </w:r>
      <w:r w:rsidR="008342D0" w:rsidRPr="008342D0">
        <w:t>§ 8.4(b)</w:t>
      </w:r>
      <w:r w:rsidR="008342D0">
        <w:t xml:space="preserve"> </w:t>
      </w:r>
      <w:r w:rsidRPr="00DF68FA">
        <w:t xml:space="preserve">shall </w:t>
      </w:r>
      <w:r w:rsidRPr="00DF68FA">
        <w:rPr>
          <w:u w:val="single"/>
        </w:rPr>
        <w:t>not</w:t>
      </w:r>
      <w:r w:rsidRPr="00DF68FA">
        <w:t xml:space="preserve"> apply to Party B</w:t>
      </w:r>
    </w:p>
    <w:p w14:paraId="47088A62" w14:textId="6379AC70" w:rsidR="00CA5C32" w:rsidRDefault="008342D0" w:rsidP="00B84DEC">
      <w:pPr>
        <w:pStyle w:val="MarginText"/>
        <w:keepNext/>
        <w:tabs>
          <w:tab w:val="left" w:pos="2880"/>
        </w:tabs>
        <w:ind w:left="2880" w:hanging="2880"/>
        <w:rPr>
          <w:b/>
        </w:rPr>
      </w:pPr>
      <w:r w:rsidRPr="008342D0">
        <w:rPr>
          <w:b/>
        </w:rPr>
        <w:t>§ 8.4</w:t>
      </w:r>
      <w:r w:rsidR="00A44DDA">
        <w:rPr>
          <w:b/>
        </w:rPr>
        <w:t xml:space="preserve"> </w:t>
      </w:r>
      <w:r w:rsidR="00CA5C32">
        <w:rPr>
          <w:b/>
        </w:rPr>
        <w:t xml:space="preserve">Definition of Material </w:t>
      </w:r>
      <w:r w:rsidR="00CA5C32" w:rsidRPr="00DF68FA">
        <w:rPr>
          <w:b/>
        </w:rPr>
        <w:t>Reason:</w:t>
      </w:r>
    </w:p>
    <w:p w14:paraId="2DB1BAF4" w14:textId="77777777" w:rsidR="00CA5C32" w:rsidRPr="00DF68FA" w:rsidRDefault="00CA5C32" w:rsidP="00CA5C32">
      <w:pPr>
        <w:pStyle w:val="MarginText"/>
        <w:tabs>
          <w:tab w:val="left" w:pos="2880"/>
        </w:tabs>
        <w:spacing w:after="0"/>
        <w:ind w:left="2880" w:hanging="2880"/>
      </w:pPr>
      <w:r w:rsidRPr="00DF68FA">
        <w:rPr>
          <w:b/>
        </w:rPr>
        <w:tab/>
      </w:r>
      <w:r w:rsidRPr="00DF68FA">
        <w:t>[  ] the following additional Material Reasons shall apply to Party A:</w:t>
      </w:r>
    </w:p>
    <w:p w14:paraId="165DFBF5" w14:textId="77777777" w:rsidR="00CA5C32" w:rsidRPr="00DF68FA" w:rsidRDefault="00CA5C32" w:rsidP="00CA5C32">
      <w:pPr>
        <w:tabs>
          <w:tab w:val="right" w:pos="9360"/>
        </w:tabs>
        <w:ind w:left="2880"/>
        <w:textAlignment w:val="baseline"/>
        <w:rPr>
          <w:rFonts w:eastAsia="Bookman Old Style"/>
          <w:sz w:val="20"/>
          <w:szCs w:val="20"/>
        </w:rPr>
      </w:pPr>
      <w:r w:rsidRPr="00DF68FA">
        <w:rPr>
          <w:rFonts w:eastAsia="Bookman Old Style"/>
          <w:sz w:val="20"/>
          <w:szCs w:val="20"/>
          <w:u w:val="single"/>
        </w:rPr>
        <w:tab/>
      </w:r>
      <w:r w:rsidRPr="00DF68FA">
        <w:rPr>
          <w:rFonts w:eastAsia="Bookman Old Style"/>
          <w:sz w:val="20"/>
          <w:szCs w:val="20"/>
        </w:rPr>
        <w:t>;</w:t>
      </w:r>
    </w:p>
    <w:p w14:paraId="2E97AD43" w14:textId="6C5F16C7" w:rsidR="00CA5C32" w:rsidRPr="00DF68FA" w:rsidRDefault="00CA5C32" w:rsidP="00CA5C32">
      <w:pPr>
        <w:pStyle w:val="MarginText"/>
        <w:tabs>
          <w:tab w:val="left" w:pos="2880"/>
        </w:tabs>
        <w:ind w:left="2880" w:hanging="2880"/>
      </w:pPr>
      <w:r w:rsidRPr="00DF68FA">
        <w:lastRenderedPageBreak/>
        <w:tab/>
      </w:r>
      <w:r w:rsidRPr="00DF68FA">
        <w:rPr>
          <w:b/>
          <w:i/>
        </w:rPr>
        <w:t>otherwise</w:t>
      </w:r>
      <w:r w:rsidRPr="00DF68FA">
        <w:t xml:space="preserve"> the Material Reasons for Party A shall be limited to those stated in the </w:t>
      </w:r>
      <w:r w:rsidR="00C7113A">
        <w:t>Biogas Certificates Standard Agreement</w:t>
      </w:r>
    </w:p>
    <w:p w14:paraId="0BDEB338" w14:textId="77777777" w:rsidR="00CA5C32" w:rsidRPr="00DF68FA" w:rsidRDefault="00CA5C32" w:rsidP="00CA5C32">
      <w:pPr>
        <w:pStyle w:val="MarginText"/>
        <w:tabs>
          <w:tab w:val="left" w:pos="2880"/>
        </w:tabs>
        <w:spacing w:after="0"/>
        <w:ind w:left="2880"/>
      </w:pPr>
      <w:r w:rsidRPr="00DF68FA">
        <w:t>[  ] the following additional Material Reasons shall apply to Party B:</w:t>
      </w:r>
    </w:p>
    <w:p w14:paraId="798E1094" w14:textId="77777777" w:rsidR="00CA5C32" w:rsidRPr="00DF68FA" w:rsidRDefault="00CA5C32" w:rsidP="00CA5C32">
      <w:pPr>
        <w:tabs>
          <w:tab w:val="right" w:pos="9360"/>
        </w:tabs>
        <w:ind w:left="2880"/>
        <w:textAlignment w:val="baseline"/>
        <w:rPr>
          <w:rFonts w:eastAsia="Bookman Old Style"/>
          <w:sz w:val="20"/>
          <w:szCs w:val="20"/>
        </w:rPr>
      </w:pPr>
      <w:r w:rsidRPr="00DF68FA">
        <w:rPr>
          <w:rFonts w:eastAsia="Bookman Old Style"/>
          <w:sz w:val="20"/>
          <w:szCs w:val="20"/>
          <w:u w:val="single"/>
        </w:rPr>
        <w:tab/>
      </w:r>
      <w:r w:rsidRPr="00DF68FA">
        <w:rPr>
          <w:rFonts w:eastAsia="Bookman Old Style"/>
          <w:sz w:val="20"/>
          <w:szCs w:val="20"/>
        </w:rPr>
        <w:t>;</w:t>
      </w:r>
    </w:p>
    <w:p w14:paraId="5A1F0888" w14:textId="16F9CB54" w:rsidR="00CA5C32" w:rsidRPr="00DF68FA" w:rsidRDefault="00CA5C32" w:rsidP="00CA5C32">
      <w:pPr>
        <w:pStyle w:val="MarginText"/>
        <w:tabs>
          <w:tab w:val="left" w:pos="2880"/>
        </w:tabs>
        <w:ind w:left="2880" w:hanging="2880"/>
      </w:pPr>
      <w:r w:rsidRPr="00DF68FA">
        <w:tab/>
      </w:r>
      <w:r w:rsidRPr="00DF68FA">
        <w:rPr>
          <w:b/>
          <w:i/>
        </w:rPr>
        <w:t>otherwise</w:t>
      </w:r>
      <w:r w:rsidRPr="00DF68FA">
        <w:t xml:space="preserve"> the Material Reasons for Party B shall be limited to those stated in the </w:t>
      </w:r>
      <w:r w:rsidR="00C7113A">
        <w:t>Biogas Certificates Standard Agreement</w:t>
      </w:r>
    </w:p>
    <w:p w14:paraId="73973287" w14:textId="55BC7740" w:rsidR="00CA5C32" w:rsidRPr="00DF68FA" w:rsidRDefault="008342D0" w:rsidP="00CA5C32">
      <w:pPr>
        <w:pStyle w:val="MarginText"/>
        <w:jc w:val="center"/>
        <w:rPr>
          <w:b/>
          <w:u w:val="single"/>
        </w:rPr>
      </w:pPr>
      <w:r w:rsidRPr="008342D0">
        <w:rPr>
          <w:b/>
        </w:rPr>
        <w:t>§ 9</w:t>
      </w:r>
      <w:r w:rsidR="00CA5C32" w:rsidRPr="00DF68FA">
        <w:rPr>
          <w:b/>
        </w:rPr>
        <w:br/>
      </w:r>
      <w:r w:rsidR="00CA5C32" w:rsidRPr="00DF68FA">
        <w:rPr>
          <w:b/>
          <w:u w:val="single"/>
        </w:rPr>
        <w:t>Calculation of the Termination Amount</w:t>
      </w:r>
    </w:p>
    <w:p w14:paraId="0A7A5F2E" w14:textId="3E5D653B" w:rsidR="00CA5C32" w:rsidRPr="00C349BD" w:rsidRDefault="008342D0" w:rsidP="00C349BD">
      <w:pPr>
        <w:pStyle w:val="MarginText"/>
        <w:rPr>
          <w:b/>
          <w:bCs/>
        </w:rPr>
      </w:pPr>
      <w:r w:rsidRPr="008342D0">
        <w:rPr>
          <w:b/>
          <w:bCs/>
        </w:rPr>
        <w:t>§ 9.2(c)</w:t>
      </w:r>
      <w:r w:rsidR="00A44DDA">
        <w:rPr>
          <w:b/>
          <w:bCs/>
        </w:rPr>
        <w:t xml:space="preserve"> </w:t>
      </w:r>
      <w:r w:rsidR="00CA5C32" w:rsidRPr="00C349BD">
        <w:rPr>
          <w:b/>
          <w:bCs/>
        </w:rPr>
        <w:t>Settlement Amount (Losses):</w:t>
      </w:r>
    </w:p>
    <w:p w14:paraId="13A21E30" w14:textId="77777777" w:rsidR="00CA5C32" w:rsidRPr="00DF68FA" w:rsidRDefault="00CA5C32" w:rsidP="00CA5C32">
      <w:pPr>
        <w:ind w:left="2160" w:firstLine="720"/>
        <w:rPr>
          <w:sz w:val="20"/>
        </w:rPr>
      </w:pPr>
      <w:r w:rsidRPr="00DF68FA">
        <w:rPr>
          <w:sz w:val="20"/>
        </w:rPr>
        <w:t xml:space="preserve">[  ] losses associated with regulatory fines shall apply; </w:t>
      </w:r>
    </w:p>
    <w:p w14:paraId="4D6CCCF0" w14:textId="78CAEC1F" w:rsidR="00CA5C32" w:rsidRDefault="00CA5C32" w:rsidP="00CA5C32">
      <w:pPr>
        <w:rPr>
          <w:sz w:val="20"/>
        </w:rPr>
      </w:pPr>
      <w:r w:rsidRPr="00DF68FA">
        <w:rPr>
          <w:sz w:val="20"/>
        </w:rPr>
        <w:tab/>
      </w:r>
      <w:r w:rsidRPr="00DF68FA">
        <w:rPr>
          <w:sz w:val="20"/>
        </w:rPr>
        <w:tab/>
      </w:r>
      <w:r w:rsidRPr="00DF68FA">
        <w:rPr>
          <w:sz w:val="20"/>
        </w:rPr>
        <w:tab/>
      </w:r>
      <w:r w:rsidRPr="00DF68FA">
        <w:rPr>
          <w:sz w:val="20"/>
        </w:rPr>
        <w:tab/>
      </w:r>
      <w:r w:rsidRPr="00DF68FA">
        <w:rPr>
          <w:b/>
          <w:i/>
          <w:sz w:val="20"/>
        </w:rPr>
        <w:t>otherwise</w:t>
      </w:r>
      <w:r w:rsidRPr="00DF68FA">
        <w:rPr>
          <w:sz w:val="20"/>
        </w:rPr>
        <w:t xml:space="preserve"> losses associated with regulatory fines shall </w:t>
      </w:r>
      <w:r w:rsidRPr="00DF68FA">
        <w:rPr>
          <w:sz w:val="20"/>
          <w:u w:val="single"/>
        </w:rPr>
        <w:t>not</w:t>
      </w:r>
      <w:r w:rsidRPr="00DF68FA">
        <w:rPr>
          <w:sz w:val="20"/>
        </w:rPr>
        <w:t xml:space="preserve"> apply</w:t>
      </w:r>
    </w:p>
    <w:p w14:paraId="1BD15913" w14:textId="77777777" w:rsidR="00D26FEC" w:rsidRPr="00DF68FA" w:rsidRDefault="00D26FEC" w:rsidP="00CA5C32">
      <w:pPr>
        <w:rPr>
          <w:sz w:val="20"/>
        </w:rPr>
      </w:pPr>
    </w:p>
    <w:p w14:paraId="0A11CBA7" w14:textId="60D51D0A" w:rsidR="00CA5C32" w:rsidRPr="00DF68FA" w:rsidRDefault="008342D0" w:rsidP="00CA5C32">
      <w:pPr>
        <w:pStyle w:val="MarginText"/>
        <w:jc w:val="center"/>
        <w:rPr>
          <w:b/>
          <w:u w:val="single"/>
        </w:rPr>
      </w:pPr>
      <w:r w:rsidRPr="008342D0">
        <w:rPr>
          <w:b/>
        </w:rPr>
        <w:t>§ 10</w:t>
      </w:r>
      <w:r w:rsidR="00CA5C32" w:rsidRPr="00DF68FA">
        <w:rPr>
          <w:b/>
        </w:rPr>
        <w:br/>
      </w:r>
      <w:r w:rsidR="00CA5C32" w:rsidRPr="00DF68FA">
        <w:rPr>
          <w:b/>
          <w:u w:val="single"/>
        </w:rPr>
        <w:t>Limitation of Liability</w:t>
      </w:r>
    </w:p>
    <w:p w14:paraId="67BE77A5" w14:textId="35F2BCBA" w:rsidR="00CA5C32" w:rsidRPr="00DF68FA" w:rsidRDefault="008342D0" w:rsidP="00CA5C32">
      <w:pPr>
        <w:pStyle w:val="MarginText"/>
        <w:tabs>
          <w:tab w:val="left" w:pos="2835"/>
        </w:tabs>
        <w:spacing w:after="0"/>
        <w:ind w:left="2880" w:hanging="2880"/>
      </w:pPr>
      <w:r w:rsidRPr="008342D0">
        <w:rPr>
          <w:b/>
        </w:rPr>
        <w:t>§ 10</w:t>
      </w:r>
      <w:r w:rsidR="00A44DDA">
        <w:rPr>
          <w:b/>
        </w:rPr>
        <w:t xml:space="preserve"> </w:t>
      </w:r>
      <w:r w:rsidR="00CA5C32" w:rsidRPr="00DF68FA">
        <w:rPr>
          <w:b/>
        </w:rPr>
        <w:t>Application of Limitation:</w:t>
      </w:r>
      <w:r w:rsidR="00CA5C32" w:rsidRPr="00DF68FA">
        <w:t xml:space="preserve"> </w:t>
      </w:r>
      <w:r w:rsidR="00CA5C32" w:rsidRPr="00DF68FA">
        <w:tab/>
      </w:r>
      <w:r w:rsidR="00CA5C32" w:rsidRPr="00DF68FA">
        <w:tab/>
        <w:t>[  ] </w:t>
      </w:r>
      <w:r w:rsidRPr="008342D0">
        <w:t>§ 10</w:t>
      </w:r>
      <w:r w:rsidR="00CA5C32" w:rsidRPr="00A44DDA">
        <w:rPr>
          <w:bCs/>
        </w:rPr>
        <w:t xml:space="preserve"> </w:t>
      </w:r>
      <w:r w:rsidR="00CA5C32" w:rsidRPr="00DF68FA">
        <w:t>shall be amended or replaced in its entirety as follows:</w:t>
      </w:r>
    </w:p>
    <w:p w14:paraId="1100D4B4" w14:textId="77777777" w:rsidR="00CA5C32" w:rsidRPr="00DF68FA" w:rsidRDefault="00CA5C32" w:rsidP="00CA5C32">
      <w:pPr>
        <w:pStyle w:val="MarginText"/>
        <w:tabs>
          <w:tab w:val="left" w:pos="2835"/>
          <w:tab w:val="left" w:pos="8931"/>
        </w:tabs>
        <w:spacing w:after="0"/>
        <w:ind w:left="2880" w:hanging="2880"/>
      </w:pPr>
      <w:r w:rsidRPr="00DF68FA">
        <w:tab/>
      </w:r>
      <w:r>
        <w:tab/>
      </w:r>
      <w:r w:rsidRPr="00DF68FA">
        <w:rPr>
          <w:u w:val="single"/>
        </w:rPr>
        <w:tab/>
      </w:r>
      <w:r w:rsidRPr="00DF68FA">
        <w:t>;</w:t>
      </w:r>
    </w:p>
    <w:p w14:paraId="67ECB61C" w14:textId="222120E2" w:rsidR="00CA5C32" w:rsidRPr="00DF68FA" w:rsidRDefault="00CA5C32" w:rsidP="00CA5C32">
      <w:pPr>
        <w:pStyle w:val="MarginText"/>
        <w:spacing w:after="0"/>
        <w:ind w:left="2835" w:firstLine="45"/>
      </w:pPr>
      <w:r w:rsidRPr="00DF68FA">
        <w:rPr>
          <w:b/>
          <w:i/>
        </w:rPr>
        <w:t>otherwise</w:t>
      </w:r>
      <w:r w:rsidRPr="00DF68FA">
        <w:t xml:space="preserve"> </w:t>
      </w:r>
      <w:r w:rsidR="008342D0" w:rsidRPr="008342D0">
        <w:t>§ 10</w:t>
      </w:r>
      <w:r w:rsidR="00240190">
        <w:rPr>
          <w:bCs/>
        </w:rPr>
        <w:t xml:space="preserve"> </w:t>
      </w:r>
      <w:r w:rsidRPr="00DF68FA">
        <w:t xml:space="preserve">shall apply as written in </w:t>
      </w:r>
      <w:r w:rsidR="00EB35CF">
        <w:t>Part II</w:t>
      </w:r>
      <w:r w:rsidR="00EB35CF" w:rsidRPr="00DF68FA">
        <w:t xml:space="preserve"> </w:t>
      </w:r>
      <w:r w:rsidR="00EB35CF">
        <w:t>(</w:t>
      </w:r>
      <w:r w:rsidR="00EB35CF" w:rsidRPr="00B84DEC">
        <w:rPr>
          <w:i/>
          <w:iCs/>
        </w:rPr>
        <w:t xml:space="preserve">General Provisions of the </w:t>
      </w:r>
      <w:r w:rsidR="00C7113A" w:rsidRPr="00B84DEC">
        <w:rPr>
          <w:i/>
          <w:iCs/>
        </w:rPr>
        <w:t>Biogas Certificates Standard Agreement</w:t>
      </w:r>
      <w:r w:rsidR="00EB35CF">
        <w:t>)</w:t>
      </w:r>
      <w:r w:rsidR="00240190">
        <w:t>.</w:t>
      </w:r>
    </w:p>
    <w:p w14:paraId="7F133D44" w14:textId="77777777" w:rsidR="00CA5C32" w:rsidRPr="00DF68FA" w:rsidRDefault="00CA5C32" w:rsidP="00CA5C32">
      <w:pPr>
        <w:pStyle w:val="MarginText"/>
        <w:spacing w:after="0"/>
        <w:ind w:left="2880" w:hanging="2880"/>
      </w:pPr>
    </w:p>
    <w:p w14:paraId="5E77C9A4" w14:textId="24C3810C" w:rsidR="00CA5C32" w:rsidRPr="00DF68FA" w:rsidRDefault="008342D0" w:rsidP="00CA5C32">
      <w:pPr>
        <w:pStyle w:val="MarginText"/>
        <w:jc w:val="center"/>
        <w:rPr>
          <w:b/>
        </w:rPr>
      </w:pPr>
      <w:r w:rsidRPr="008342D0">
        <w:rPr>
          <w:b/>
        </w:rPr>
        <w:t>§ 11</w:t>
      </w:r>
      <w:r w:rsidR="00CA5C32" w:rsidRPr="00DF68FA">
        <w:rPr>
          <w:b/>
        </w:rPr>
        <w:br/>
      </w:r>
      <w:r w:rsidR="00CA5C32" w:rsidRPr="00DF68FA">
        <w:rPr>
          <w:b/>
          <w:u w:val="single"/>
        </w:rPr>
        <w:t>Invoicing and Payment</w:t>
      </w:r>
    </w:p>
    <w:p w14:paraId="347F6FDF" w14:textId="041E8166" w:rsidR="00CA5C32" w:rsidRPr="00DF68FA" w:rsidRDefault="008342D0" w:rsidP="00CA5C32">
      <w:pPr>
        <w:pStyle w:val="MarginText"/>
        <w:tabs>
          <w:tab w:val="left" w:pos="2880"/>
        </w:tabs>
        <w:ind w:left="2880" w:hanging="2880"/>
      </w:pPr>
      <w:r w:rsidRPr="008342D0">
        <w:rPr>
          <w:b/>
        </w:rPr>
        <w:t>§ 11.2</w:t>
      </w:r>
      <w:r w:rsidR="00B1482A">
        <w:rPr>
          <w:b/>
        </w:rPr>
        <w:t xml:space="preserve"> </w:t>
      </w:r>
      <w:r w:rsidR="00CA5C32" w:rsidRPr="00DF68FA">
        <w:rPr>
          <w:b/>
        </w:rPr>
        <w:t>Payment:</w:t>
      </w:r>
      <w:r w:rsidR="00CA5C32" w:rsidRPr="00DF68FA">
        <w:tab/>
        <w:t xml:space="preserve">initial billing and payment information for each Party is set out in </w:t>
      </w:r>
      <w:r w:rsidRPr="008342D0">
        <w:t>§ 19</w:t>
      </w:r>
      <w:r w:rsidR="00CA5C32" w:rsidRPr="00DF68FA">
        <w:t xml:space="preserve"> of this Election Sheet</w:t>
      </w:r>
    </w:p>
    <w:p w14:paraId="17F388F1" w14:textId="77777777" w:rsidR="00CA5C32" w:rsidRPr="00DF68FA" w:rsidRDefault="00CA5C32" w:rsidP="00CA5C32">
      <w:pPr>
        <w:pStyle w:val="MarginText"/>
        <w:tabs>
          <w:tab w:val="left" w:pos="2835"/>
        </w:tabs>
        <w:spacing w:after="0"/>
        <w:ind w:left="2880" w:hanging="2880"/>
      </w:pPr>
      <w:r w:rsidRPr="00DF68FA">
        <w:rPr>
          <w:b/>
        </w:rPr>
        <w:tab/>
      </w:r>
      <w:r w:rsidRPr="00DF68FA">
        <w:tab/>
        <w:t xml:space="preserve">[  ] the currency shall be </w:t>
      </w:r>
      <w:r w:rsidRPr="00DF68FA">
        <w:rPr>
          <w:u w:val="single"/>
        </w:rPr>
        <w:tab/>
      </w:r>
      <w:r w:rsidRPr="00DF68FA">
        <w:rPr>
          <w:u w:val="single"/>
        </w:rPr>
        <w:tab/>
      </w:r>
      <w:r w:rsidRPr="00DF68FA">
        <w:rPr>
          <w:u w:val="single"/>
        </w:rPr>
        <w:tab/>
      </w:r>
      <w:r w:rsidRPr="00DF68FA">
        <w:t>;</w:t>
      </w:r>
    </w:p>
    <w:p w14:paraId="74D9519A" w14:textId="77777777" w:rsidR="00CA5C32" w:rsidRPr="00DF68FA" w:rsidRDefault="00CA5C32" w:rsidP="00CA5C32">
      <w:pPr>
        <w:pStyle w:val="MarginText"/>
        <w:ind w:left="2835" w:firstLine="45"/>
      </w:pPr>
      <w:r w:rsidRPr="00DF68FA">
        <w:rPr>
          <w:b/>
          <w:i/>
        </w:rPr>
        <w:t>otherwise</w:t>
      </w:r>
      <w:r w:rsidRPr="00DF68FA">
        <w:t xml:space="preserve"> the currency shall be EURO</w:t>
      </w:r>
    </w:p>
    <w:p w14:paraId="6CED2AA8" w14:textId="4DCBCCB3" w:rsidR="00CA5C32" w:rsidRPr="00DF68FA" w:rsidRDefault="008342D0" w:rsidP="004E5AC2">
      <w:pPr>
        <w:pStyle w:val="MarginText"/>
        <w:tabs>
          <w:tab w:val="left" w:pos="2880"/>
        </w:tabs>
        <w:ind w:left="2880" w:hanging="2880"/>
      </w:pPr>
      <w:r w:rsidRPr="008342D0">
        <w:rPr>
          <w:b/>
        </w:rPr>
        <w:t>§ 11.3</w:t>
      </w:r>
      <w:r w:rsidR="00CA5C32" w:rsidRPr="00DF68FA">
        <w:rPr>
          <w:b/>
        </w:rPr>
        <w:t xml:space="preserve"> </w:t>
      </w:r>
      <w:r w:rsidR="00CA5C32">
        <w:rPr>
          <w:b/>
        </w:rPr>
        <w:t xml:space="preserve">Default </w:t>
      </w:r>
      <w:r w:rsidR="00CA5C32" w:rsidRPr="00DF68FA">
        <w:rPr>
          <w:b/>
        </w:rPr>
        <w:t>Interest:</w:t>
      </w:r>
      <w:r w:rsidR="00CA5C32" w:rsidRPr="00DF68FA">
        <w:tab/>
        <w:t xml:space="preserve">the Interest Rate shall be the one month </w:t>
      </w:r>
      <w:r w:rsidR="004E5AC2">
        <w:t>(the “</w:t>
      </w:r>
      <w:r w:rsidR="004E5AC2" w:rsidRPr="00DB132A">
        <w:rPr>
          <w:b/>
        </w:rPr>
        <w:t>Designated Maturity</w:t>
      </w:r>
      <w:r w:rsidR="004E5AC2">
        <w:t xml:space="preserve">”) </w:t>
      </w:r>
      <w:r w:rsidR="00CA5C32" w:rsidRPr="00DF68FA">
        <w:t xml:space="preserve">EURIBOR interest rate for 11:00 a.m. CET on the Due Date </w:t>
      </w:r>
      <w:r w:rsidR="00CA5C32" w:rsidRPr="00DF68FA">
        <w:rPr>
          <w:i/>
        </w:rPr>
        <w:t>plus</w:t>
      </w:r>
      <w:r w:rsidR="00CA5C32" w:rsidRPr="00DF68FA">
        <w:t xml:space="preserve"> _____________ percent ( _ %) per annum</w:t>
      </w:r>
      <w:r w:rsidR="004E5AC2">
        <w:t>,</w:t>
      </w:r>
      <w:r w:rsidR="004E5AC2" w:rsidRPr="004E5AC2">
        <w:t xml:space="preserve"> </w:t>
      </w:r>
      <w:r w:rsidR="004E5AC2">
        <w:t>provided that if the Interest Rate would otherwise be less than zero, the Interest Rate shall be floored at zero and any margin applied thereto</w:t>
      </w:r>
    </w:p>
    <w:p w14:paraId="618A52FC" w14:textId="6F29BFBF" w:rsidR="00CA5C32" w:rsidRPr="00DF68FA" w:rsidRDefault="008342D0" w:rsidP="00CA5C32">
      <w:pPr>
        <w:pStyle w:val="MarginText"/>
        <w:tabs>
          <w:tab w:val="left" w:pos="2880"/>
        </w:tabs>
        <w:ind w:left="2880" w:hanging="2880"/>
      </w:pPr>
      <w:r w:rsidRPr="008342D0">
        <w:rPr>
          <w:b/>
        </w:rPr>
        <w:t>§ 11.4</w:t>
      </w:r>
      <w:r w:rsidR="00CA5C32" w:rsidRPr="00DF68FA">
        <w:rPr>
          <w:b/>
        </w:rPr>
        <w:t xml:space="preserve"> Disputed Amounts:</w:t>
      </w:r>
      <w:r w:rsidR="00CA5C32" w:rsidRPr="00DF68FA">
        <w:tab/>
        <w:t>[  ] </w:t>
      </w:r>
      <w:r w:rsidRPr="008342D0">
        <w:t>§ 11.4(a)</w:t>
      </w:r>
      <w:r w:rsidR="00B1482A">
        <w:t xml:space="preserve"> </w:t>
      </w:r>
      <w:r w:rsidR="00CA5C32" w:rsidRPr="00DF68FA">
        <w:t>shall apply; or</w:t>
      </w:r>
      <w:r w:rsidR="00CA5C32" w:rsidRPr="00DF68FA">
        <w:br/>
        <w:t>[  ] </w:t>
      </w:r>
      <w:r w:rsidRPr="008342D0">
        <w:t>§ 11.4(b)</w:t>
      </w:r>
      <w:r w:rsidR="00CA5C32" w:rsidRPr="00DF68FA">
        <w:t xml:space="preserve"> shall apply</w:t>
      </w:r>
    </w:p>
    <w:p w14:paraId="129E7361" w14:textId="4DC5FF71" w:rsidR="00CA5C32" w:rsidRPr="00DF68FA" w:rsidRDefault="008342D0" w:rsidP="00CA5C32">
      <w:pPr>
        <w:pStyle w:val="MarginText"/>
        <w:jc w:val="center"/>
        <w:rPr>
          <w:b/>
        </w:rPr>
      </w:pPr>
      <w:r w:rsidRPr="008342D0">
        <w:rPr>
          <w:b/>
        </w:rPr>
        <w:t>§ 12</w:t>
      </w:r>
      <w:r w:rsidR="00CA5C32" w:rsidRPr="00DF68FA">
        <w:rPr>
          <w:b/>
        </w:rPr>
        <w:br/>
      </w:r>
      <w:r w:rsidR="00CA5C32" w:rsidRPr="00DF68FA">
        <w:rPr>
          <w:b/>
          <w:u w:val="single"/>
        </w:rPr>
        <w:t>VAT and Other Taxes</w:t>
      </w:r>
    </w:p>
    <w:p w14:paraId="19A62690" w14:textId="17D458E1" w:rsidR="00CA5C32" w:rsidRPr="00DF68FA" w:rsidRDefault="008342D0" w:rsidP="00CA5C32">
      <w:pPr>
        <w:pStyle w:val="MarginText"/>
        <w:tabs>
          <w:tab w:val="left" w:pos="2880"/>
        </w:tabs>
        <w:ind w:left="2880" w:hanging="2880"/>
      </w:pPr>
      <w:r w:rsidRPr="008342D0">
        <w:rPr>
          <w:b/>
        </w:rPr>
        <w:t>§ 12.5</w:t>
      </w:r>
      <w:r w:rsidR="008E1DEA">
        <w:rPr>
          <w:b/>
        </w:rPr>
        <w:t xml:space="preserve"> </w:t>
      </w:r>
      <w:r w:rsidR="00CA5C32" w:rsidRPr="00DF68FA">
        <w:rPr>
          <w:b/>
        </w:rPr>
        <w:t>Withholding Tax:</w:t>
      </w:r>
      <w:r w:rsidR="00CA5C32" w:rsidRPr="00DF68FA">
        <w:tab/>
        <w:t>[  ] </w:t>
      </w:r>
      <w:r w:rsidRPr="008342D0">
        <w:t>§ 12.5</w:t>
      </w:r>
      <w:r w:rsidR="008E1DEA">
        <w:rPr>
          <w:b/>
        </w:rPr>
        <w:t xml:space="preserve"> </w:t>
      </w:r>
      <w:r w:rsidR="00CA5C32" w:rsidRPr="00DF68FA">
        <w:t>shall apply</w:t>
      </w:r>
      <w:r w:rsidR="00CA5C32">
        <w:t xml:space="preserve">, in the case of </w:t>
      </w:r>
      <w:r w:rsidRPr="008342D0">
        <w:t>§ 12.5(b)(ii)</w:t>
      </w:r>
      <w:r w:rsidR="008E1DEA">
        <w:t xml:space="preserve"> </w:t>
      </w:r>
      <w:r w:rsidR="00CA5C32">
        <w:t xml:space="preserve">the documents shall be </w:t>
      </w:r>
      <w:r w:rsidR="00CA5C32" w:rsidRPr="00DF68FA">
        <w:t>____________________________________________________________</w:t>
      </w:r>
      <w:r w:rsidR="00CA5C32">
        <w:t xml:space="preserve">; </w:t>
      </w:r>
      <w:r w:rsidR="00CA5C32" w:rsidRPr="00DF68FA">
        <w:rPr>
          <w:b/>
          <w:i/>
        </w:rPr>
        <w:t>otherwise</w:t>
      </w:r>
      <w:r w:rsidR="00CA5C32" w:rsidRPr="003A5B17">
        <w:t xml:space="preserve"> </w:t>
      </w:r>
      <w:r w:rsidRPr="008342D0">
        <w:t>§ 12.5</w:t>
      </w:r>
      <w:r w:rsidR="008E1DEA">
        <w:rPr>
          <w:b/>
        </w:rPr>
        <w:t xml:space="preserve"> </w:t>
      </w:r>
      <w:r w:rsidR="00CA5C32" w:rsidRPr="00DF68FA">
        <w:t xml:space="preserve">shall </w:t>
      </w:r>
      <w:r w:rsidR="00CA5C32" w:rsidRPr="00DF68FA">
        <w:rPr>
          <w:u w:val="single"/>
        </w:rPr>
        <w:t>not</w:t>
      </w:r>
      <w:r w:rsidR="00CA5C32" w:rsidRPr="00DF68FA">
        <w:t xml:space="preserve"> apply</w:t>
      </w:r>
    </w:p>
    <w:p w14:paraId="162230B1" w14:textId="7D27F9A6" w:rsidR="00CA5C32" w:rsidRPr="00DF68FA" w:rsidRDefault="008342D0" w:rsidP="00CA5C32">
      <w:pPr>
        <w:pStyle w:val="MarginText"/>
        <w:keepNext/>
        <w:jc w:val="center"/>
        <w:rPr>
          <w:b/>
        </w:rPr>
      </w:pPr>
      <w:r w:rsidRPr="008342D0">
        <w:rPr>
          <w:b/>
        </w:rPr>
        <w:t>§ 13</w:t>
      </w:r>
      <w:r w:rsidR="00CA5C32" w:rsidRPr="00DF68FA">
        <w:rPr>
          <w:b/>
        </w:rPr>
        <w:br/>
      </w:r>
      <w:r w:rsidR="004829AB">
        <w:rPr>
          <w:b/>
          <w:u w:val="single"/>
        </w:rPr>
        <w:t>Change in Law or Standard</w:t>
      </w:r>
    </w:p>
    <w:p w14:paraId="38B2A9A1" w14:textId="4291A982" w:rsidR="00CA5C32" w:rsidRDefault="008342D0" w:rsidP="00CA5C32">
      <w:pPr>
        <w:pStyle w:val="MarginText"/>
        <w:tabs>
          <w:tab w:val="left" w:pos="2880"/>
        </w:tabs>
        <w:ind w:left="2880" w:hanging="2880"/>
        <w:rPr>
          <w:b/>
        </w:rPr>
      </w:pPr>
      <w:r w:rsidRPr="008342D0">
        <w:rPr>
          <w:b/>
        </w:rPr>
        <w:t>§ 13.2</w:t>
      </w:r>
      <w:r w:rsidR="00245B06">
        <w:rPr>
          <w:b/>
        </w:rPr>
        <w:t xml:space="preserve"> </w:t>
      </w:r>
      <w:r w:rsidR="004829AB">
        <w:rPr>
          <w:b/>
        </w:rPr>
        <w:t>Change in Law or Standard</w:t>
      </w:r>
      <w:r w:rsidR="00CA5C32">
        <w:rPr>
          <w:b/>
        </w:rPr>
        <w:t xml:space="preserve"> and Price Adjustments</w:t>
      </w:r>
      <w:r w:rsidR="00CA5C32" w:rsidRPr="00DF68FA">
        <w:rPr>
          <w:b/>
        </w:rPr>
        <w:t>:</w:t>
      </w:r>
    </w:p>
    <w:p w14:paraId="39224939" w14:textId="3FC4C9C0" w:rsidR="00CA5C32" w:rsidRDefault="00CA5C32" w:rsidP="00CA5C32">
      <w:pPr>
        <w:pStyle w:val="MarginText"/>
        <w:tabs>
          <w:tab w:val="left" w:pos="2880"/>
        </w:tabs>
        <w:ind w:left="2880" w:hanging="2880"/>
      </w:pPr>
      <w:r w:rsidRPr="00DF68FA">
        <w:tab/>
        <w:t>[  ] </w:t>
      </w:r>
      <w:r w:rsidR="008342D0" w:rsidRPr="008342D0">
        <w:t>§ 13.2</w:t>
      </w:r>
      <w:r w:rsidRPr="00245B06">
        <w:rPr>
          <w:bCs/>
        </w:rPr>
        <w:t xml:space="preserve"> shal</w:t>
      </w:r>
      <w:r w:rsidRPr="00DF68FA">
        <w:t xml:space="preserve">l apply;  </w:t>
      </w:r>
      <w:r w:rsidRPr="00DF68FA">
        <w:br/>
      </w:r>
      <w:r w:rsidRPr="003A5B17">
        <w:rPr>
          <w:b/>
          <w:i/>
        </w:rPr>
        <w:t>otherwise</w:t>
      </w:r>
      <w:r>
        <w:t xml:space="preserve"> </w:t>
      </w:r>
      <w:r w:rsidR="008342D0" w:rsidRPr="008342D0">
        <w:t>§ 13.2</w:t>
      </w:r>
      <w:r w:rsidR="00245B06">
        <w:rPr>
          <w:b/>
        </w:rPr>
        <w:t xml:space="preserve"> </w:t>
      </w:r>
      <w:r w:rsidRPr="00DF68FA">
        <w:t xml:space="preserve">shall </w:t>
      </w:r>
      <w:r w:rsidRPr="003A5B17">
        <w:rPr>
          <w:u w:val="single"/>
        </w:rPr>
        <w:t>not</w:t>
      </w:r>
      <w:r>
        <w:t xml:space="preserve"> </w:t>
      </w:r>
      <w:r w:rsidRPr="00DF68FA">
        <w:t>apply</w:t>
      </w:r>
    </w:p>
    <w:p w14:paraId="735FF156" w14:textId="679E6332" w:rsidR="00CA5C32" w:rsidRDefault="008342D0" w:rsidP="00CA5C32">
      <w:pPr>
        <w:pStyle w:val="MarginText"/>
        <w:tabs>
          <w:tab w:val="left" w:pos="2880"/>
        </w:tabs>
        <w:ind w:left="2880" w:hanging="2880"/>
        <w:rPr>
          <w:b/>
        </w:rPr>
      </w:pPr>
      <w:r w:rsidRPr="008342D0">
        <w:rPr>
          <w:b/>
        </w:rPr>
        <w:t>§ 13.3</w:t>
      </w:r>
      <w:r w:rsidR="00245B06">
        <w:rPr>
          <w:b/>
        </w:rPr>
        <w:t xml:space="preserve"> </w:t>
      </w:r>
      <w:r w:rsidR="00CA5C32">
        <w:rPr>
          <w:b/>
        </w:rPr>
        <w:t xml:space="preserve">Event of </w:t>
      </w:r>
      <w:r w:rsidR="004829AB">
        <w:rPr>
          <w:b/>
        </w:rPr>
        <w:t>Change in Law or Standard</w:t>
      </w:r>
      <w:r w:rsidR="00CA5C32">
        <w:rPr>
          <w:b/>
        </w:rPr>
        <w:t xml:space="preserve"> and Ineffectiveness</w:t>
      </w:r>
      <w:r w:rsidR="00CA5C32" w:rsidRPr="00DF68FA">
        <w:rPr>
          <w:b/>
        </w:rPr>
        <w:t>:</w:t>
      </w:r>
    </w:p>
    <w:p w14:paraId="42BA6415" w14:textId="0BA7EDDC" w:rsidR="00CA5C32" w:rsidRPr="00DF68FA" w:rsidRDefault="00CA5C32" w:rsidP="00CA5C32">
      <w:pPr>
        <w:pStyle w:val="MarginText"/>
        <w:tabs>
          <w:tab w:val="left" w:pos="2880"/>
        </w:tabs>
        <w:ind w:left="2880" w:hanging="2880"/>
      </w:pPr>
      <w:r w:rsidRPr="00DF68FA">
        <w:lastRenderedPageBreak/>
        <w:tab/>
        <w:t>[  ] </w:t>
      </w:r>
      <w:r w:rsidR="008342D0" w:rsidRPr="008342D0">
        <w:t>§ 13.3(b)</w:t>
      </w:r>
      <w:r w:rsidR="00245B06">
        <w:t xml:space="preserve"> </w:t>
      </w:r>
      <w:r w:rsidRPr="00DF68FA">
        <w:t xml:space="preserve">shall apply;  </w:t>
      </w:r>
      <w:r w:rsidRPr="00DF68FA">
        <w:br/>
      </w:r>
      <w:r w:rsidRPr="00C64054">
        <w:rPr>
          <w:b/>
          <w:i/>
        </w:rPr>
        <w:t>otherwise</w:t>
      </w:r>
      <w:r>
        <w:t xml:space="preserve"> </w:t>
      </w:r>
      <w:r w:rsidR="008342D0" w:rsidRPr="008342D0">
        <w:t>§ 13.3(a)</w:t>
      </w:r>
      <w:r w:rsidRPr="00DF68FA">
        <w:t xml:space="preserve"> shall apply</w:t>
      </w:r>
    </w:p>
    <w:p w14:paraId="039E4C94" w14:textId="27B8666E" w:rsidR="00CA5C32" w:rsidRPr="00DF68FA" w:rsidRDefault="008342D0" w:rsidP="00CA5C32">
      <w:pPr>
        <w:pStyle w:val="MarginText"/>
        <w:keepNext/>
        <w:jc w:val="center"/>
        <w:rPr>
          <w:b/>
          <w:sz w:val="22"/>
          <w:szCs w:val="22"/>
        </w:rPr>
      </w:pPr>
      <w:r w:rsidRPr="008342D0">
        <w:rPr>
          <w:b/>
          <w:sz w:val="22"/>
          <w:szCs w:val="22"/>
        </w:rPr>
        <w:t>§ 14</w:t>
      </w:r>
      <w:r w:rsidR="00CA5C32" w:rsidRPr="00DF68FA">
        <w:rPr>
          <w:b/>
          <w:sz w:val="22"/>
          <w:szCs w:val="22"/>
        </w:rPr>
        <w:br/>
      </w:r>
      <w:r w:rsidR="00CA5C32" w:rsidRPr="00DF68FA">
        <w:rPr>
          <w:b/>
          <w:sz w:val="22"/>
          <w:szCs w:val="22"/>
          <w:u w:val="single"/>
        </w:rPr>
        <w:t>Guarantees and Credit Support</w:t>
      </w:r>
    </w:p>
    <w:p w14:paraId="6AEC8029" w14:textId="66C2E3AA" w:rsidR="00CA5C32" w:rsidRPr="00DF68FA" w:rsidRDefault="008342D0" w:rsidP="00CA5C32">
      <w:pPr>
        <w:pStyle w:val="MarginText"/>
      </w:pPr>
      <w:r w:rsidRPr="008342D0">
        <w:rPr>
          <w:b/>
        </w:rPr>
        <w:t>§ 14</w:t>
      </w:r>
      <w:r w:rsidR="00CA5C32" w:rsidRPr="00DF68FA">
        <w:rPr>
          <w:b/>
        </w:rPr>
        <w:t xml:space="preserve"> Credit Support Documents:</w:t>
      </w:r>
      <w:r w:rsidR="00CA5C32" w:rsidRPr="00DF68FA">
        <w:rPr>
          <w:b/>
        </w:rPr>
        <w:tab/>
      </w:r>
    </w:p>
    <w:p w14:paraId="0DFDA028" w14:textId="77777777" w:rsidR="00CA5C32" w:rsidRPr="00DF68FA" w:rsidRDefault="00CA5C32" w:rsidP="00CA5C32">
      <w:pPr>
        <w:pStyle w:val="MarginText"/>
        <w:spacing w:after="0"/>
        <w:ind w:left="2880"/>
      </w:pPr>
      <w:r w:rsidRPr="00DF68FA">
        <w:t>Party A shall provide Party B with the following Credit Support Document(s):</w:t>
      </w:r>
    </w:p>
    <w:p w14:paraId="55F5CA5D" w14:textId="77777777" w:rsidR="00CA5C32" w:rsidRPr="00DF68FA" w:rsidRDefault="00CA5C32" w:rsidP="00CA5C32">
      <w:pPr>
        <w:pStyle w:val="MarginText"/>
        <w:spacing w:after="0"/>
        <w:ind w:left="2880"/>
      </w:pPr>
      <w:r w:rsidRPr="00DF68FA">
        <w:t>_____________________________________________________________</w:t>
      </w:r>
    </w:p>
    <w:p w14:paraId="51613597" w14:textId="77777777" w:rsidR="00CA5C32" w:rsidRPr="00DF68FA" w:rsidRDefault="00CA5C32" w:rsidP="00CA5C32">
      <w:pPr>
        <w:pStyle w:val="MarginText"/>
        <w:spacing w:after="0"/>
        <w:ind w:left="2880"/>
      </w:pPr>
      <w:r w:rsidRPr="00DF68FA">
        <w:t>Party B shall provide Party A with the following Credit Support Document(s):</w:t>
      </w:r>
    </w:p>
    <w:p w14:paraId="1951B999" w14:textId="77777777" w:rsidR="00CA5C32" w:rsidRPr="00DF68FA" w:rsidRDefault="00CA5C32" w:rsidP="00CA5C32">
      <w:pPr>
        <w:pStyle w:val="MarginText"/>
        <w:ind w:left="2880"/>
      </w:pPr>
      <w:r w:rsidRPr="00DF68FA">
        <w:t>_____________________________________________________________</w:t>
      </w:r>
    </w:p>
    <w:p w14:paraId="6F49F0F4" w14:textId="5C4D48DF" w:rsidR="00CA5C32" w:rsidRPr="00DF68FA" w:rsidRDefault="008342D0" w:rsidP="00CA5C32">
      <w:pPr>
        <w:pStyle w:val="MarginText"/>
        <w:tabs>
          <w:tab w:val="left" w:pos="2880"/>
        </w:tabs>
        <w:spacing w:after="0"/>
      </w:pPr>
      <w:r w:rsidRPr="008342D0">
        <w:rPr>
          <w:b/>
        </w:rPr>
        <w:t>§ 14</w:t>
      </w:r>
      <w:r w:rsidR="00CA5C32" w:rsidRPr="00DF68FA">
        <w:rPr>
          <w:b/>
        </w:rPr>
        <w:t xml:space="preserve"> Credit Support Provider:</w:t>
      </w:r>
      <w:r w:rsidR="00CA5C32" w:rsidRPr="00DF68FA">
        <w:tab/>
        <w:t>The Credit Support Provider(s) of Party A shall be:</w:t>
      </w:r>
    </w:p>
    <w:p w14:paraId="02ADC0B2" w14:textId="77777777" w:rsidR="00CA5C32" w:rsidRPr="00DF68FA" w:rsidRDefault="00CA5C32" w:rsidP="00CA5C32">
      <w:pPr>
        <w:pStyle w:val="MarginText"/>
        <w:ind w:left="2880"/>
      </w:pPr>
      <w:r w:rsidRPr="00DF68FA">
        <w:t>_____________________________________________________________</w:t>
      </w:r>
    </w:p>
    <w:p w14:paraId="5EC63079" w14:textId="77777777" w:rsidR="00CA5C32" w:rsidRPr="00DF68FA" w:rsidRDefault="00CA5C32" w:rsidP="00CA5C32">
      <w:pPr>
        <w:pStyle w:val="MarginText"/>
        <w:spacing w:after="0"/>
        <w:ind w:left="2880"/>
      </w:pPr>
      <w:r w:rsidRPr="00DF68FA">
        <w:t>The Credit Support Provider(s) of Party B shall be:</w:t>
      </w:r>
    </w:p>
    <w:p w14:paraId="743E7A8E" w14:textId="77777777" w:rsidR="00CA5C32" w:rsidRPr="00DF68FA" w:rsidRDefault="00CA5C32" w:rsidP="00CA5C32">
      <w:pPr>
        <w:pStyle w:val="MarginText"/>
        <w:ind w:left="2880"/>
      </w:pPr>
      <w:r w:rsidRPr="00DF68FA">
        <w:t>_____________________________________________________________</w:t>
      </w:r>
    </w:p>
    <w:p w14:paraId="19FD34C6" w14:textId="0FD812A0" w:rsidR="00CA5C32" w:rsidRPr="00DF68FA" w:rsidRDefault="008342D0" w:rsidP="00CA5C32">
      <w:pPr>
        <w:pStyle w:val="MarginText"/>
        <w:keepNext/>
        <w:jc w:val="center"/>
        <w:rPr>
          <w:b/>
          <w:sz w:val="22"/>
          <w:szCs w:val="22"/>
        </w:rPr>
      </w:pPr>
      <w:r w:rsidRPr="008342D0">
        <w:rPr>
          <w:b/>
          <w:sz w:val="22"/>
          <w:szCs w:val="22"/>
        </w:rPr>
        <w:t>§ 15</w:t>
      </w:r>
      <w:r w:rsidR="00CA5C32" w:rsidRPr="00DF68FA">
        <w:rPr>
          <w:b/>
          <w:sz w:val="22"/>
          <w:szCs w:val="22"/>
        </w:rPr>
        <w:br/>
      </w:r>
      <w:r w:rsidR="00CA5C32" w:rsidRPr="00DF68FA">
        <w:rPr>
          <w:b/>
          <w:sz w:val="22"/>
          <w:szCs w:val="22"/>
          <w:u w:val="single"/>
        </w:rPr>
        <w:t>Assignment</w:t>
      </w:r>
    </w:p>
    <w:p w14:paraId="21DE53E4" w14:textId="4128A392" w:rsidR="00CA5C32" w:rsidRDefault="008342D0" w:rsidP="00CA5C32">
      <w:pPr>
        <w:pStyle w:val="MarginText"/>
        <w:tabs>
          <w:tab w:val="left" w:pos="2880"/>
        </w:tabs>
        <w:ind w:left="2880" w:hanging="2880"/>
      </w:pPr>
      <w:r w:rsidRPr="008342D0">
        <w:rPr>
          <w:b/>
          <w:bCs/>
        </w:rPr>
        <w:t>§ 15.2</w:t>
      </w:r>
      <w:r w:rsidR="00AB6360" w:rsidRPr="00AB6360">
        <w:rPr>
          <w:b/>
          <w:bCs/>
        </w:rPr>
        <w:t xml:space="preserve"> </w:t>
      </w:r>
      <w:r w:rsidR="00CA5C32" w:rsidRPr="00AB6360">
        <w:rPr>
          <w:b/>
          <w:bCs/>
        </w:rPr>
        <w:t>As</w:t>
      </w:r>
      <w:r w:rsidR="00CA5C32" w:rsidRPr="00DF68FA">
        <w:rPr>
          <w:b/>
        </w:rPr>
        <w:t>signment to Affiliates:</w:t>
      </w:r>
      <w:r w:rsidR="00CA5C32" w:rsidRPr="00DF68FA">
        <w:rPr>
          <w:b/>
        </w:rPr>
        <w:tab/>
      </w:r>
      <w:r w:rsidR="00CA5C32" w:rsidRPr="00DF68FA">
        <w:rPr>
          <w:rFonts w:eastAsia="Times New Roman"/>
        </w:rPr>
        <w:t>[  ] </w:t>
      </w:r>
      <w:r w:rsidR="00CA5C32" w:rsidRPr="00DF68FA">
        <w:t xml:space="preserve">Party A may assign in accordance with </w:t>
      </w:r>
      <w:r w:rsidRPr="008342D0">
        <w:t>§ 15.2</w:t>
      </w:r>
      <w:r w:rsidR="00CA5C32">
        <w:t>; or</w:t>
      </w:r>
      <w:r w:rsidR="00CA5C32">
        <w:br/>
      </w:r>
      <w:r w:rsidR="00CA5C32" w:rsidRPr="00DF68FA">
        <w:rPr>
          <w:rFonts w:eastAsia="Times New Roman"/>
        </w:rPr>
        <w:t>[  ] </w:t>
      </w:r>
      <w:r w:rsidR="00CA5C32" w:rsidRPr="00DF68FA">
        <w:t xml:space="preserve">Party A may assign in accordance with </w:t>
      </w:r>
      <w:r w:rsidRPr="008342D0">
        <w:t>§ 15.2</w:t>
      </w:r>
      <w:r w:rsidR="00CA5C32">
        <w:t>, provided that the</w:t>
      </w:r>
      <w:r w:rsidR="00CA5C32" w:rsidRPr="00661CED">
        <w:t xml:space="preserve"> Affiliate is incorporated in the same jurisdiction as Party</w:t>
      </w:r>
      <w:r w:rsidR="00CA5C32">
        <w:t xml:space="preserve"> A</w:t>
      </w:r>
      <w:r w:rsidR="00CA5C32" w:rsidRPr="00DF68FA">
        <w:t>;</w:t>
      </w:r>
      <w:r w:rsidR="00CA5C32" w:rsidRPr="00DF68FA">
        <w:br/>
      </w:r>
      <w:r w:rsidR="00CA5C32" w:rsidRPr="00DF68FA">
        <w:rPr>
          <w:b/>
          <w:i/>
        </w:rPr>
        <w:t xml:space="preserve">otherwise </w:t>
      </w:r>
      <w:r w:rsidR="00CA5C32" w:rsidRPr="00DF68FA">
        <w:t xml:space="preserve">Party A may </w:t>
      </w:r>
      <w:r w:rsidR="00CA5C32" w:rsidRPr="00DF68FA">
        <w:rPr>
          <w:u w:val="single"/>
        </w:rPr>
        <w:t>not</w:t>
      </w:r>
      <w:r w:rsidR="00CA5C32" w:rsidRPr="00DF68FA">
        <w:t xml:space="preserve"> assign in accordance with </w:t>
      </w:r>
      <w:r w:rsidRPr="008342D0">
        <w:t>§ 15.2</w:t>
      </w:r>
    </w:p>
    <w:p w14:paraId="69452200" w14:textId="5649CABE" w:rsidR="00CA5C32" w:rsidRDefault="00CA5C32" w:rsidP="00CA5C32">
      <w:pPr>
        <w:pStyle w:val="MarginText"/>
        <w:tabs>
          <w:tab w:val="left" w:pos="2880"/>
        </w:tabs>
        <w:ind w:left="2880" w:hanging="2880"/>
      </w:pPr>
      <w:r>
        <w:rPr>
          <w:b/>
        </w:rPr>
        <w:tab/>
      </w:r>
      <w:r w:rsidRPr="00DF68FA">
        <w:rPr>
          <w:rFonts w:eastAsia="Times New Roman"/>
        </w:rPr>
        <w:t>[  ] </w:t>
      </w:r>
      <w:r w:rsidRPr="00DF68FA">
        <w:t xml:space="preserve">Party B may assign in accordance with </w:t>
      </w:r>
      <w:r w:rsidR="008342D0" w:rsidRPr="008342D0">
        <w:t>§ 15.2</w:t>
      </w:r>
      <w:r w:rsidRPr="00DF68FA">
        <w:t>;</w:t>
      </w:r>
      <w:r>
        <w:br/>
      </w:r>
      <w:r w:rsidRPr="00DF68FA">
        <w:rPr>
          <w:rFonts w:eastAsia="Times New Roman"/>
        </w:rPr>
        <w:t>[  ] </w:t>
      </w:r>
      <w:r w:rsidRPr="00DF68FA">
        <w:t xml:space="preserve">Party </w:t>
      </w:r>
      <w:r>
        <w:t>B</w:t>
      </w:r>
      <w:r w:rsidRPr="00DF68FA">
        <w:t xml:space="preserve"> may assign in accordance with </w:t>
      </w:r>
      <w:r w:rsidR="008342D0" w:rsidRPr="008342D0">
        <w:t>§ 15.2</w:t>
      </w:r>
      <w:r>
        <w:t>, provided that the</w:t>
      </w:r>
      <w:r w:rsidRPr="00661CED">
        <w:t xml:space="preserve"> Affiliate is incorporated in the same jurisdiction as Party</w:t>
      </w:r>
      <w:r>
        <w:t xml:space="preserve"> B</w:t>
      </w:r>
      <w:r w:rsidRPr="00DF68FA">
        <w:t>;</w:t>
      </w:r>
      <w:r w:rsidRPr="00DF68FA">
        <w:br/>
      </w:r>
      <w:r w:rsidRPr="00DF68FA">
        <w:rPr>
          <w:b/>
          <w:i/>
        </w:rPr>
        <w:t xml:space="preserve">otherwise </w:t>
      </w:r>
      <w:r w:rsidRPr="00DF68FA">
        <w:t xml:space="preserve">Party B may </w:t>
      </w:r>
      <w:r w:rsidRPr="00DF68FA">
        <w:rPr>
          <w:u w:val="single"/>
        </w:rPr>
        <w:t>not</w:t>
      </w:r>
      <w:r w:rsidRPr="00DF68FA">
        <w:t xml:space="preserve"> assign in accordance with </w:t>
      </w:r>
      <w:r w:rsidR="008342D0" w:rsidRPr="008342D0">
        <w:t>§ 15.2</w:t>
      </w:r>
    </w:p>
    <w:p w14:paraId="1C36417A" w14:textId="25B3D095" w:rsidR="00CA5C32" w:rsidRPr="00DF68FA" w:rsidRDefault="008342D0" w:rsidP="00CA5C32">
      <w:pPr>
        <w:pStyle w:val="MarginText"/>
        <w:keepNext/>
        <w:jc w:val="center"/>
        <w:rPr>
          <w:b/>
          <w:sz w:val="22"/>
          <w:szCs w:val="22"/>
        </w:rPr>
      </w:pPr>
      <w:r w:rsidRPr="008342D0">
        <w:rPr>
          <w:b/>
          <w:sz w:val="22"/>
          <w:szCs w:val="22"/>
        </w:rPr>
        <w:t>§ 16</w:t>
      </w:r>
      <w:r w:rsidR="00CA5C32" w:rsidRPr="00DF68FA">
        <w:rPr>
          <w:b/>
          <w:sz w:val="22"/>
          <w:szCs w:val="22"/>
        </w:rPr>
        <w:br/>
      </w:r>
      <w:r w:rsidR="00CA5C32" w:rsidRPr="00DF68FA">
        <w:rPr>
          <w:b/>
          <w:sz w:val="22"/>
          <w:szCs w:val="22"/>
          <w:u w:val="single"/>
        </w:rPr>
        <w:t>Confidentiality</w:t>
      </w:r>
    </w:p>
    <w:p w14:paraId="687AB93D" w14:textId="7A39547B" w:rsidR="00CA5C32" w:rsidRPr="00DF68FA" w:rsidRDefault="008342D0" w:rsidP="00CA5C32">
      <w:pPr>
        <w:pStyle w:val="MarginText"/>
        <w:tabs>
          <w:tab w:val="left" w:pos="2880"/>
        </w:tabs>
        <w:ind w:left="2880" w:hanging="2880"/>
      </w:pPr>
      <w:r w:rsidRPr="008342D0">
        <w:rPr>
          <w:b/>
        </w:rPr>
        <w:t>§ 16.1</w:t>
      </w:r>
      <w:r w:rsidR="00CA5C32" w:rsidRPr="00DF68FA">
        <w:rPr>
          <w:b/>
        </w:rPr>
        <w:t xml:space="preserve"> Confidentiality Obligation:</w:t>
      </w:r>
      <w:r w:rsidR="00CA5C32" w:rsidRPr="00DF68FA">
        <w:tab/>
        <w:t>[</w:t>
      </w:r>
      <w:r w:rsidR="00CA5C32">
        <w:t>  </w:t>
      </w:r>
      <w:r w:rsidR="00CA5C32" w:rsidRPr="00DF68FA">
        <w:t xml:space="preserve">] </w:t>
      </w:r>
      <w:r w:rsidRPr="008342D0">
        <w:t>§ 16</w:t>
      </w:r>
      <w:r w:rsidR="00A71B23">
        <w:t xml:space="preserve"> </w:t>
      </w:r>
      <w:r w:rsidR="00CA5C32" w:rsidRPr="00DF68FA">
        <w:t xml:space="preserve">shall </w:t>
      </w:r>
      <w:r w:rsidR="00CA5C32" w:rsidRPr="00DF68FA">
        <w:rPr>
          <w:u w:val="single"/>
        </w:rPr>
        <w:t>not</w:t>
      </w:r>
      <w:r w:rsidR="00CA5C32" w:rsidRPr="00DF68FA">
        <w:t xml:space="preserve"> apply;</w:t>
      </w:r>
      <w:r w:rsidR="00CA5C32" w:rsidRPr="00DF68FA">
        <w:br/>
      </w:r>
      <w:r w:rsidR="00CA5C32" w:rsidRPr="00DF68FA">
        <w:rPr>
          <w:b/>
          <w:i/>
        </w:rPr>
        <w:t>otherwise</w:t>
      </w:r>
      <w:r w:rsidR="00CA5C32" w:rsidRPr="00DF68FA">
        <w:t xml:space="preserve"> </w:t>
      </w:r>
      <w:r w:rsidRPr="008342D0">
        <w:t>§ 16</w:t>
      </w:r>
      <w:r w:rsidR="00A71B23">
        <w:t xml:space="preserve"> </w:t>
      </w:r>
      <w:r w:rsidR="00CA5C32" w:rsidRPr="00DF68FA">
        <w:t>shall apply</w:t>
      </w:r>
    </w:p>
    <w:p w14:paraId="472143C8" w14:textId="28C26E18" w:rsidR="00CA5C32" w:rsidRPr="00DF68FA" w:rsidRDefault="008342D0" w:rsidP="00CA5C32">
      <w:pPr>
        <w:pStyle w:val="MarginText"/>
        <w:keepNext/>
        <w:jc w:val="center"/>
        <w:rPr>
          <w:b/>
          <w:sz w:val="22"/>
          <w:szCs w:val="22"/>
        </w:rPr>
      </w:pPr>
      <w:r w:rsidRPr="008342D0">
        <w:rPr>
          <w:b/>
          <w:sz w:val="22"/>
          <w:szCs w:val="22"/>
        </w:rPr>
        <w:t>§ 17</w:t>
      </w:r>
      <w:r w:rsidR="00CA5C32" w:rsidRPr="00DF68FA">
        <w:rPr>
          <w:b/>
          <w:sz w:val="22"/>
          <w:szCs w:val="22"/>
        </w:rPr>
        <w:br/>
      </w:r>
      <w:r w:rsidR="00CA5C32" w:rsidRPr="00DF68FA">
        <w:rPr>
          <w:b/>
          <w:sz w:val="22"/>
          <w:szCs w:val="22"/>
          <w:u w:val="single"/>
        </w:rPr>
        <w:t>Representation and Warranties</w:t>
      </w:r>
    </w:p>
    <w:p w14:paraId="62323BB3" w14:textId="684EBCF6" w:rsidR="00CA5C32" w:rsidRPr="00DF68FA" w:rsidRDefault="008342D0" w:rsidP="00CA5C32">
      <w:pPr>
        <w:pStyle w:val="MarginText"/>
      </w:pPr>
      <w:r w:rsidRPr="008342D0">
        <w:rPr>
          <w:rFonts w:eastAsia="Times New Roman"/>
          <w:b/>
        </w:rPr>
        <w:t>§ 17.1</w:t>
      </w:r>
      <w:r w:rsidR="005E69E1">
        <w:rPr>
          <w:rFonts w:eastAsia="Times New Roman"/>
          <w:b/>
        </w:rPr>
        <w:t xml:space="preserve"> </w:t>
      </w:r>
      <w:r w:rsidR="00CA5C32">
        <w:rPr>
          <w:rFonts w:eastAsia="Times New Roman"/>
          <w:b/>
        </w:rPr>
        <w:t>Representations and Warranties of the Seller:</w:t>
      </w:r>
      <w:r w:rsidR="00CA5C32">
        <w:rPr>
          <w:rFonts w:eastAsia="Times New Roman"/>
        </w:rPr>
        <w:t xml:space="preserve"> </w:t>
      </w:r>
      <w:r w:rsidR="00CA5C32" w:rsidRPr="00DF68FA">
        <w:t xml:space="preserve">The </w:t>
      </w:r>
      <w:r w:rsidR="00CA5C32">
        <w:t>f</w:t>
      </w:r>
      <w:r w:rsidR="00CA5C32" w:rsidRPr="00DF68FA">
        <w:t xml:space="preserve">ollowing </w:t>
      </w:r>
      <w:r w:rsidR="00CA5C32">
        <w:t>r</w:t>
      </w:r>
      <w:r w:rsidR="00CA5C32" w:rsidRPr="00DF68FA">
        <w:t xml:space="preserve">epresentations and </w:t>
      </w:r>
      <w:r w:rsidR="00CA5C32">
        <w:t>w</w:t>
      </w:r>
      <w:r w:rsidR="00CA5C32" w:rsidRPr="00DF68FA">
        <w:t>arranties are made</w:t>
      </w:r>
      <w:r w:rsidR="00CA5C32">
        <w:t xml:space="preserve"> by the Seller</w:t>
      </w:r>
      <w:r w:rsidR="00CA5C32" w:rsidRPr="00DF68FA">
        <w:t>:</w:t>
      </w:r>
    </w:p>
    <w:tbl>
      <w:tblPr>
        <w:tblW w:w="0" w:type="auto"/>
        <w:tblInd w:w="1998" w:type="dxa"/>
        <w:tblLook w:val="04A0" w:firstRow="1" w:lastRow="0" w:firstColumn="1" w:lastColumn="0" w:noHBand="0" w:noVBand="1"/>
      </w:tblPr>
      <w:tblGrid>
        <w:gridCol w:w="2340"/>
        <w:gridCol w:w="2520"/>
      </w:tblGrid>
      <w:tr w:rsidR="00CA5C32" w:rsidRPr="00DF68FA" w14:paraId="3AB0645A" w14:textId="77777777" w:rsidTr="00067634">
        <w:tc>
          <w:tcPr>
            <w:tcW w:w="2340" w:type="dxa"/>
            <w:shd w:val="clear" w:color="auto" w:fill="auto"/>
          </w:tcPr>
          <w:p w14:paraId="3C293F62" w14:textId="5793BB72" w:rsidR="00CA5C32" w:rsidRPr="00DF68FA" w:rsidRDefault="008342D0" w:rsidP="00067634">
            <w:pPr>
              <w:pStyle w:val="MarginText"/>
              <w:overflowPunct w:val="0"/>
              <w:autoSpaceDE w:val="0"/>
              <w:autoSpaceDN w:val="0"/>
              <w:spacing w:after="0"/>
              <w:textAlignment w:val="baseline"/>
            </w:pPr>
            <w:r w:rsidRPr="008342D0">
              <w:t>§ 17.1(a)</w:t>
            </w:r>
          </w:p>
        </w:tc>
        <w:tc>
          <w:tcPr>
            <w:tcW w:w="2520" w:type="dxa"/>
            <w:shd w:val="clear" w:color="auto" w:fill="auto"/>
          </w:tcPr>
          <w:p w14:paraId="15716806"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1C1DAB2F" w14:textId="77777777" w:rsidTr="00067634">
        <w:tc>
          <w:tcPr>
            <w:tcW w:w="2340" w:type="dxa"/>
            <w:shd w:val="clear" w:color="auto" w:fill="auto"/>
          </w:tcPr>
          <w:p w14:paraId="1C06B70D" w14:textId="5B0C958C" w:rsidR="00CA5C32" w:rsidRPr="00DF68FA" w:rsidRDefault="008342D0" w:rsidP="00067634">
            <w:pPr>
              <w:pStyle w:val="MarginText"/>
              <w:overflowPunct w:val="0"/>
              <w:autoSpaceDE w:val="0"/>
              <w:autoSpaceDN w:val="0"/>
              <w:spacing w:after="0"/>
              <w:textAlignment w:val="baseline"/>
            </w:pPr>
            <w:r w:rsidRPr="008342D0">
              <w:t>§ 17.1(b)</w:t>
            </w:r>
          </w:p>
        </w:tc>
        <w:tc>
          <w:tcPr>
            <w:tcW w:w="2520" w:type="dxa"/>
            <w:shd w:val="clear" w:color="auto" w:fill="auto"/>
          </w:tcPr>
          <w:p w14:paraId="48A925D8"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21981737" w14:textId="77777777" w:rsidTr="00067634">
        <w:tc>
          <w:tcPr>
            <w:tcW w:w="2340" w:type="dxa"/>
            <w:shd w:val="clear" w:color="auto" w:fill="auto"/>
          </w:tcPr>
          <w:p w14:paraId="393CEA23" w14:textId="60737003" w:rsidR="00CA5C32" w:rsidRPr="00DF68FA" w:rsidRDefault="008342D0" w:rsidP="00067634">
            <w:pPr>
              <w:pStyle w:val="MarginText"/>
              <w:overflowPunct w:val="0"/>
              <w:autoSpaceDE w:val="0"/>
              <w:autoSpaceDN w:val="0"/>
              <w:spacing w:after="0"/>
              <w:textAlignment w:val="baseline"/>
            </w:pPr>
            <w:r w:rsidRPr="008342D0">
              <w:t>§ 17.1(c)</w:t>
            </w:r>
          </w:p>
        </w:tc>
        <w:tc>
          <w:tcPr>
            <w:tcW w:w="2520" w:type="dxa"/>
            <w:shd w:val="clear" w:color="auto" w:fill="auto"/>
          </w:tcPr>
          <w:p w14:paraId="70EF262A"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bl>
    <w:p w14:paraId="75F2A52A" w14:textId="77777777" w:rsidR="00CA5C32" w:rsidRDefault="00CA5C32" w:rsidP="00CA5C32">
      <w:pPr>
        <w:pStyle w:val="MarginText"/>
      </w:pPr>
    </w:p>
    <w:p w14:paraId="78B72F6B" w14:textId="4BC88B27" w:rsidR="00CA5C32" w:rsidRPr="00DF68FA" w:rsidRDefault="008342D0" w:rsidP="00CA5C32">
      <w:pPr>
        <w:pStyle w:val="MarginText"/>
      </w:pPr>
      <w:r w:rsidRPr="008342D0">
        <w:rPr>
          <w:rFonts w:eastAsia="Times New Roman"/>
          <w:b/>
        </w:rPr>
        <w:t>§ 17.2</w:t>
      </w:r>
      <w:r w:rsidR="005E69E1">
        <w:rPr>
          <w:rFonts w:eastAsia="Times New Roman"/>
          <w:b/>
        </w:rPr>
        <w:t xml:space="preserve"> </w:t>
      </w:r>
      <w:r w:rsidR="00CA5C32">
        <w:rPr>
          <w:rFonts w:eastAsia="Times New Roman"/>
          <w:b/>
        </w:rPr>
        <w:t>Additional Representations and Warranties:</w:t>
      </w:r>
      <w:r w:rsidR="00CA5C32">
        <w:rPr>
          <w:rFonts w:eastAsia="Times New Roman"/>
        </w:rPr>
        <w:t xml:space="preserve"> </w:t>
      </w:r>
      <w:r w:rsidR="00CA5C32" w:rsidRPr="00DF68FA">
        <w:t xml:space="preserve">The </w:t>
      </w:r>
      <w:r w:rsidR="00CA5C32">
        <w:t>f</w:t>
      </w:r>
      <w:r w:rsidR="00CA5C32" w:rsidRPr="00DF68FA">
        <w:t xml:space="preserve">ollowing </w:t>
      </w:r>
      <w:r w:rsidR="00CA5C32">
        <w:t>r</w:t>
      </w:r>
      <w:r w:rsidR="00CA5C32" w:rsidRPr="00DF68FA">
        <w:t xml:space="preserve">epresentations and </w:t>
      </w:r>
      <w:r w:rsidR="00CA5C32">
        <w:t>w</w:t>
      </w:r>
      <w:r w:rsidR="00CA5C32" w:rsidRPr="00DF68FA">
        <w:t>arranties are made:</w:t>
      </w:r>
    </w:p>
    <w:tbl>
      <w:tblPr>
        <w:tblW w:w="0" w:type="auto"/>
        <w:tblInd w:w="1998" w:type="dxa"/>
        <w:tblLook w:val="04A0" w:firstRow="1" w:lastRow="0" w:firstColumn="1" w:lastColumn="0" w:noHBand="0" w:noVBand="1"/>
      </w:tblPr>
      <w:tblGrid>
        <w:gridCol w:w="2269"/>
        <w:gridCol w:w="2444"/>
        <w:gridCol w:w="2318"/>
      </w:tblGrid>
      <w:tr w:rsidR="00CA5C32" w:rsidRPr="00DF68FA" w14:paraId="31407CEC" w14:textId="77777777" w:rsidTr="00067634">
        <w:tc>
          <w:tcPr>
            <w:tcW w:w="2340" w:type="dxa"/>
            <w:shd w:val="clear" w:color="auto" w:fill="auto"/>
          </w:tcPr>
          <w:p w14:paraId="26A3231E" w14:textId="77777777" w:rsidR="00CA5C32" w:rsidRPr="00DF68FA" w:rsidRDefault="00CA5C32" w:rsidP="00067634">
            <w:pPr>
              <w:pStyle w:val="MarginText"/>
              <w:overflowPunct w:val="0"/>
              <w:autoSpaceDE w:val="0"/>
              <w:autoSpaceDN w:val="0"/>
              <w:spacing w:after="0"/>
              <w:textAlignment w:val="baseline"/>
              <w:rPr>
                <w:b/>
              </w:rPr>
            </w:pPr>
            <w:r w:rsidRPr="00DF68FA">
              <w:rPr>
                <w:b/>
              </w:rPr>
              <w:t xml:space="preserve"> </w:t>
            </w:r>
          </w:p>
        </w:tc>
        <w:tc>
          <w:tcPr>
            <w:tcW w:w="2520" w:type="dxa"/>
            <w:shd w:val="clear" w:color="auto" w:fill="auto"/>
          </w:tcPr>
          <w:p w14:paraId="5B870A7E" w14:textId="77777777" w:rsidR="00CA5C32" w:rsidRPr="003A5B17" w:rsidRDefault="00CA5C32" w:rsidP="00067634">
            <w:pPr>
              <w:pStyle w:val="MarginText"/>
              <w:overflowPunct w:val="0"/>
              <w:autoSpaceDE w:val="0"/>
              <w:autoSpaceDN w:val="0"/>
              <w:spacing w:after="0"/>
              <w:textAlignment w:val="baseline"/>
            </w:pPr>
            <w:r w:rsidRPr="003A5B17">
              <w:t>by Party A:</w:t>
            </w:r>
          </w:p>
        </w:tc>
        <w:tc>
          <w:tcPr>
            <w:tcW w:w="2387" w:type="dxa"/>
            <w:shd w:val="clear" w:color="auto" w:fill="auto"/>
          </w:tcPr>
          <w:p w14:paraId="66AA6062" w14:textId="77777777" w:rsidR="00CA5C32" w:rsidRPr="003A5B17" w:rsidRDefault="00CA5C32" w:rsidP="00067634">
            <w:pPr>
              <w:pStyle w:val="MarginText"/>
              <w:overflowPunct w:val="0"/>
              <w:autoSpaceDE w:val="0"/>
              <w:autoSpaceDN w:val="0"/>
              <w:spacing w:after="0"/>
              <w:textAlignment w:val="baseline"/>
            </w:pPr>
            <w:r w:rsidRPr="003A5B17">
              <w:t>by Party B:</w:t>
            </w:r>
          </w:p>
        </w:tc>
      </w:tr>
      <w:tr w:rsidR="00CA5C32" w:rsidRPr="00DF68FA" w14:paraId="7A5196E3" w14:textId="77777777" w:rsidTr="00067634">
        <w:tc>
          <w:tcPr>
            <w:tcW w:w="2340" w:type="dxa"/>
            <w:shd w:val="clear" w:color="auto" w:fill="auto"/>
          </w:tcPr>
          <w:p w14:paraId="1205441A" w14:textId="3A611F4E" w:rsidR="00CA5C32" w:rsidRPr="00DF68FA" w:rsidRDefault="008342D0" w:rsidP="00067634">
            <w:pPr>
              <w:pStyle w:val="MarginText"/>
              <w:overflowPunct w:val="0"/>
              <w:autoSpaceDE w:val="0"/>
              <w:autoSpaceDN w:val="0"/>
              <w:spacing w:after="0"/>
              <w:textAlignment w:val="baseline"/>
            </w:pPr>
            <w:r w:rsidRPr="008342D0">
              <w:t>§ 17.2(a)</w:t>
            </w:r>
          </w:p>
        </w:tc>
        <w:tc>
          <w:tcPr>
            <w:tcW w:w="2520" w:type="dxa"/>
            <w:shd w:val="clear" w:color="auto" w:fill="auto"/>
          </w:tcPr>
          <w:p w14:paraId="6F124F2B"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2C740787"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32B3A3B5" w14:textId="77777777" w:rsidTr="00067634">
        <w:tc>
          <w:tcPr>
            <w:tcW w:w="2340" w:type="dxa"/>
            <w:shd w:val="clear" w:color="auto" w:fill="auto"/>
          </w:tcPr>
          <w:p w14:paraId="2716824B" w14:textId="3399C3DE" w:rsidR="00CA5C32" w:rsidRPr="00DF68FA" w:rsidRDefault="008342D0" w:rsidP="00067634">
            <w:pPr>
              <w:pStyle w:val="MarginText"/>
              <w:overflowPunct w:val="0"/>
              <w:autoSpaceDE w:val="0"/>
              <w:autoSpaceDN w:val="0"/>
              <w:spacing w:after="0"/>
              <w:textAlignment w:val="baseline"/>
            </w:pPr>
            <w:r w:rsidRPr="008342D0">
              <w:t>§ 17.2(b)</w:t>
            </w:r>
          </w:p>
        </w:tc>
        <w:tc>
          <w:tcPr>
            <w:tcW w:w="2520" w:type="dxa"/>
            <w:shd w:val="clear" w:color="auto" w:fill="auto"/>
          </w:tcPr>
          <w:p w14:paraId="25914C97"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5234126C"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3876CA47" w14:textId="77777777" w:rsidTr="00067634">
        <w:tc>
          <w:tcPr>
            <w:tcW w:w="2340" w:type="dxa"/>
            <w:shd w:val="clear" w:color="auto" w:fill="auto"/>
          </w:tcPr>
          <w:p w14:paraId="309C34DD" w14:textId="6C51B3EE" w:rsidR="00CA5C32" w:rsidRPr="00DF68FA" w:rsidRDefault="008342D0" w:rsidP="00067634">
            <w:pPr>
              <w:pStyle w:val="MarginText"/>
              <w:overflowPunct w:val="0"/>
              <w:autoSpaceDE w:val="0"/>
              <w:autoSpaceDN w:val="0"/>
              <w:spacing w:after="0"/>
              <w:textAlignment w:val="baseline"/>
            </w:pPr>
            <w:r w:rsidRPr="008342D0">
              <w:t>§ 17.2(c)</w:t>
            </w:r>
          </w:p>
        </w:tc>
        <w:tc>
          <w:tcPr>
            <w:tcW w:w="2520" w:type="dxa"/>
            <w:shd w:val="clear" w:color="auto" w:fill="auto"/>
          </w:tcPr>
          <w:p w14:paraId="73A4E184"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176C7FFD"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717E413A" w14:textId="77777777" w:rsidTr="00067634">
        <w:tc>
          <w:tcPr>
            <w:tcW w:w="2340" w:type="dxa"/>
            <w:shd w:val="clear" w:color="auto" w:fill="auto"/>
          </w:tcPr>
          <w:p w14:paraId="403AD691" w14:textId="7A3B222A" w:rsidR="00CA5C32" w:rsidRPr="00DF68FA" w:rsidRDefault="008342D0" w:rsidP="00067634">
            <w:pPr>
              <w:pStyle w:val="MarginText"/>
              <w:overflowPunct w:val="0"/>
              <w:autoSpaceDE w:val="0"/>
              <w:autoSpaceDN w:val="0"/>
              <w:spacing w:after="0"/>
              <w:textAlignment w:val="baseline"/>
            </w:pPr>
            <w:r w:rsidRPr="008342D0">
              <w:t>§ 17.2(d)</w:t>
            </w:r>
          </w:p>
        </w:tc>
        <w:tc>
          <w:tcPr>
            <w:tcW w:w="2520" w:type="dxa"/>
            <w:shd w:val="clear" w:color="auto" w:fill="auto"/>
          </w:tcPr>
          <w:p w14:paraId="2C464B2C"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1FBEB04D"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6EEB9BEE" w14:textId="77777777" w:rsidTr="00067634">
        <w:tc>
          <w:tcPr>
            <w:tcW w:w="2340" w:type="dxa"/>
            <w:shd w:val="clear" w:color="auto" w:fill="auto"/>
          </w:tcPr>
          <w:p w14:paraId="1399444F" w14:textId="2254F6FE" w:rsidR="00CA5C32" w:rsidRPr="00DF68FA" w:rsidRDefault="008342D0" w:rsidP="00067634">
            <w:pPr>
              <w:pStyle w:val="MarginText"/>
              <w:overflowPunct w:val="0"/>
              <w:autoSpaceDE w:val="0"/>
              <w:autoSpaceDN w:val="0"/>
              <w:spacing w:after="0"/>
              <w:textAlignment w:val="baseline"/>
            </w:pPr>
            <w:r w:rsidRPr="008342D0">
              <w:t>§ 17.2(e)</w:t>
            </w:r>
          </w:p>
        </w:tc>
        <w:tc>
          <w:tcPr>
            <w:tcW w:w="2520" w:type="dxa"/>
            <w:shd w:val="clear" w:color="auto" w:fill="auto"/>
          </w:tcPr>
          <w:p w14:paraId="79DE5673"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61A76C1E"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7E7E5F33" w14:textId="77777777" w:rsidTr="00067634">
        <w:tc>
          <w:tcPr>
            <w:tcW w:w="2340" w:type="dxa"/>
            <w:shd w:val="clear" w:color="auto" w:fill="auto"/>
          </w:tcPr>
          <w:p w14:paraId="5FC9DBEA" w14:textId="074841E5" w:rsidR="00CA5C32" w:rsidRPr="00DF68FA" w:rsidRDefault="008342D0" w:rsidP="00067634">
            <w:pPr>
              <w:pStyle w:val="MarginText"/>
              <w:overflowPunct w:val="0"/>
              <w:autoSpaceDE w:val="0"/>
              <w:autoSpaceDN w:val="0"/>
              <w:spacing w:after="0"/>
              <w:textAlignment w:val="baseline"/>
            </w:pPr>
            <w:r w:rsidRPr="008342D0">
              <w:lastRenderedPageBreak/>
              <w:t>§ 17.2(f)</w:t>
            </w:r>
          </w:p>
        </w:tc>
        <w:tc>
          <w:tcPr>
            <w:tcW w:w="2520" w:type="dxa"/>
            <w:shd w:val="clear" w:color="auto" w:fill="auto"/>
          </w:tcPr>
          <w:p w14:paraId="5E0693EC"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3D659E80"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27677431" w14:textId="77777777" w:rsidTr="00067634">
        <w:tc>
          <w:tcPr>
            <w:tcW w:w="2340" w:type="dxa"/>
            <w:shd w:val="clear" w:color="auto" w:fill="auto"/>
          </w:tcPr>
          <w:p w14:paraId="51172B67" w14:textId="2D66CF64" w:rsidR="00CA5C32" w:rsidRPr="00DF68FA" w:rsidRDefault="008342D0" w:rsidP="00067634">
            <w:pPr>
              <w:pStyle w:val="MarginText"/>
              <w:overflowPunct w:val="0"/>
              <w:autoSpaceDE w:val="0"/>
              <w:autoSpaceDN w:val="0"/>
              <w:spacing w:after="0"/>
              <w:textAlignment w:val="baseline"/>
            </w:pPr>
            <w:r w:rsidRPr="008342D0">
              <w:t>§ 17.2(g)</w:t>
            </w:r>
          </w:p>
        </w:tc>
        <w:tc>
          <w:tcPr>
            <w:tcW w:w="2520" w:type="dxa"/>
            <w:shd w:val="clear" w:color="auto" w:fill="auto"/>
          </w:tcPr>
          <w:p w14:paraId="00E8DC46"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00571258"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66014575" w14:textId="77777777" w:rsidTr="00067634">
        <w:tc>
          <w:tcPr>
            <w:tcW w:w="2340" w:type="dxa"/>
            <w:shd w:val="clear" w:color="auto" w:fill="auto"/>
          </w:tcPr>
          <w:p w14:paraId="46E13FF2" w14:textId="748BDE78" w:rsidR="00CA5C32" w:rsidRPr="00DF68FA" w:rsidRDefault="008342D0" w:rsidP="00067634">
            <w:pPr>
              <w:pStyle w:val="MarginText"/>
              <w:overflowPunct w:val="0"/>
              <w:autoSpaceDE w:val="0"/>
              <w:autoSpaceDN w:val="0"/>
              <w:spacing w:after="0"/>
              <w:textAlignment w:val="baseline"/>
            </w:pPr>
            <w:r w:rsidRPr="008342D0">
              <w:t>§ 17.2(h)</w:t>
            </w:r>
          </w:p>
        </w:tc>
        <w:tc>
          <w:tcPr>
            <w:tcW w:w="2520" w:type="dxa"/>
            <w:shd w:val="clear" w:color="auto" w:fill="auto"/>
          </w:tcPr>
          <w:p w14:paraId="4A5F0792"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3AB25204"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105C393A" w14:textId="77777777" w:rsidTr="00067634">
        <w:tc>
          <w:tcPr>
            <w:tcW w:w="2340" w:type="dxa"/>
            <w:shd w:val="clear" w:color="auto" w:fill="auto"/>
          </w:tcPr>
          <w:p w14:paraId="59D289D2" w14:textId="59488B06" w:rsidR="00CA5C32" w:rsidRPr="00DF68FA" w:rsidRDefault="008342D0" w:rsidP="00067634">
            <w:pPr>
              <w:pStyle w:val="MarginText"/>
              <w:overflowPunct w:val="0"/>
              <w:autoSpaceDE w:val="0"/>
              <w:autoSpaceDN w:val="0"/>
              <w:spacing w:after="0"/>
              <w:textAlignment w:val="baseline"/>
            </w:pPr>
            <w:r w:rsidRPr="008342D0">
              <w:t>§ 17.2(i)</w:t>
            </w:r>
          </w:p>
        </w:tc>
        <w:tc>
          <w:tcPr>
            <w:tcW w:w="2520" w:type="dxa"/>
            <w:shd w:val="clear" w:color="auto" w:fill="auto"/>
          </w:tcPr>
          <w:p w14:paraId="7CFE21D7"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3C652C2B"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6ACB47EC" w14:textId="77777777" w:rsidTr="00067634">
        <w:tc>
          <w:tcPr>
            <w:tcW w:w="2340" w:type="dxa"/>
            <w:shd w:val="clear" w:color="auto" w:fill="auto"/>
          </w:tcPr>
          <w:p w14:paraId="3D0C241D" w14:textId="3FACB361" w:rsidR="00CA5C32" w:rsidRPr="00DF68FA" w:rsidRDefault="008342D0" w:rsidP="00067634">
            <w:pPr>
              <w:pStyle w:val="MarginText"/>
              <w:overflowPunct w:val="0"/>
              <w:autoSpaceDE w:val="0"/>
              <w:autoSpaceDN w:val="0"/>
              <w:spacing w:after="0"/>
              <w:textAlignment w:val="baseline"/>
            </w:pPr>
            <w:r w:rsidRPr="008342D0">
              <w:t>§ 17.2(j)</w:t>
            </w:r>
          </w:p>
        </w:tc>
        <w:tc>
          <w:tcPr>
            <w:tcW w:w="2520" w:type="dxa"/>
            <w:shd w:val="clear" w:color="auto" w:fill="auto"/>
          </w:tcPr>
          <w:p w14:paraId="15D22F4D" w14:textId="77777777" w:rsidR="00CA5C32" w:rsidRPr="00DF68FA" w:rsidRDefault="00CA5C32" w:rsidP="00067634">
            <w:pPr>
              <w:pStyle w:val="MarginText"/>
              <w:overflowPunct w:val="0"/>
              <w:autoSpaceDE w:val="0"/>
              <w:autoSpaceDN w:val="0"/>
              <w:spacing w:after="0"/>
              <w:ind w:left="-81" w:firstLine="81"/>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3B6D4A61"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2172B80D" w14:textId="77777777" w:rsidTr="00067634">
        <w:tc>
          <w:tcPr>
            <w:tcW w:w="2340" w:type="dxa"/>
            <w:shd w:val="clear" w:color="auto" w:fill="auto"/>
          </w:tcPr>
          <w:p w14:paraId="13931D07" w14:textId="6DD49DD2" w:rsidR="00CA5C32" w:rsidRPr="00DF68FA" w:rsidRDefault="008342D0" w:rsidP="00067634">
            <w:pPr>
              <w:pStyle w:val="MarginText"/>
              <w:overflowPunct w:val="0"/>
              <w:autoSpaceDE w:val="0"/>
              <w:autoSpaceDN w:val="0"/>
              <w:spacing w:after="0"/>
              <w:textAlignment w:val="baseline"/>
            </w:pPr>
            <w:r w:rsidRPr="008342D0">
              <w:t>§ 17.2(k)</w:t>
            </w:r>
          </w:p>
        </w:tc>
        <w:tc>
          <w:tcPr>
            <w:tcW w:w="2520" w:type="dxa"/>
            <w:shd w:val="clear" w:color="auto" w:fill="auto"/>
          </w:tcPr>
          <w:p w14:paraId="0DCD456D"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16ED1CB3"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DF68FA" w14:paraId="27E83252" w14:textId="77777777" w:rsidTr="00067634">
        <w:tc>
          <w:tcPr>
            <w:tcW w:w="2340" w:type="dxa"/>
            <w:shd w:val="clear" w:color="auto" w:fill="auto"/>
          </w:tcPr>
          <w:p w14:paraId="490B86F7" w14:textId="0591139E" w:rsidR="00CA5C32" w:rsidRPr="00DF68FA" w:rsidRDefault="008342D0" w:rsidP="00067634">
            <w:pPr>
              <w:pStyle w:val="MarginText"/>
              <w:overflowPunct w:val="0"/>
              <w:autoSpaceDE w:val="0"/>
              <w:autoSpaceDN w:val="0"/>
              <w:spacing w:after="0"/>
              <w:textAlignment w:val="baseline"/>
            </w:pPr>
            <w:r w:rsidRPr="008342D0">
              <w:t>§ 17.2(l)</w:t>
            </w:r>
          </w:p>
        </w:tc>
        <w:tc>
          <w:tcPr>
            <w:tcW w:w="2520" w:type="dxa"/>
            <w:shd w:val="clear" w:color="auto" w:fill="auto"/>
          </w:tcPr>
          <w:p w14:paraId="5A458D11"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c>
          <w:tcPr>
            <w:tcW w:w="2387" w:type="dxa"/>
            <w:shd w:val="clear" w:color="auto" w:fill="auto"/>
          </w:tcPr>
          <w:p w14:paraId="3941AF20" w14:textId="77777777" w:rsidR="00CA5C32" w:rsidRPr="00DF68FA" w:rsidRDefault="00CA5C32" w:rsidP="00067634">
            <w:pPr>
              <w:pStyle w:val="MarginText"/>
              <w:overflowPunct w:val="0"/>
              <w:autoSpaceDE w:val="0"/>
              <w:autoSpaceDN w:val="0"/>
              <w:spacing w:after="0"/>
              <w:textAlignment w:val="baseline"/>
            </w:pPr>
            <w:r w:rsidRPr="00DF68FA">
              <w:rPr>
                <w:rFonts w:eastAsia="Times New Roman"/>
              </w:rPr>
              <w:t>[  ] </w:t>
            </w:r>
            <w:r w:rsidRPr="00DF68FA">
              <w:t xml:space="preserve">no, </w:t>
            </w:r>
            <w:r w:rsidRPr="00DF68FA">
              <w:rPr>
                <w:b/>
                <w:i/>
              </w:rPr>
              <w:t>otherwise</w:t>
            </w:r>
            <w:r w:rsidRPr="00DF68FA">
              <w:t xml:space="preserve"> yes</w:t>
            </w:r>
          </w:p>
        </w:tc>
      </w:tr>
      <w:tr w:rsidR="00CA5C32" w:rsidRPr="00EE4C75" w14:paraId="3FF030D8" w14:textId="77777777" w:rsidTr="00067634">
        <w:tc>
          <w:tcPr>
            <w:tcW w:w="2340" w:type="dxa"/>
            <w:shd w:val="clear" w:color="auto" w:fill="auto"/>
          </w:tcPr>
          <w:p w14:paraId="3E13D246" w14:textId="5186BD87" w:rsidR="00CA5C32" w:rsidRPr="003A5B17" w:rsidRDefault="008342D0" w:rsidP="00067634">
            <w:pPr>
              <w:pStyle w:val="MarginText"/>
              <w:overflowPunct w:val="0"/>
              <w:autoSpaceDE w:val="0"/>
              <w:autoSpaceDN w:val="0"/>
              <w:spacing w:after="0"/>
              <w:textAlignment w:val="baseline"/>
              <w:rPr>
                <w:sz w:val="22"/>
                <w:szCs w:val="22"/>
              </w:rPr>
            </w:pPr>
            <w:r w:rsidRPr="008342D0">
              <w:rPr>
                <w:sz w:val="22"/>
                <w:szCs w:val="22"/>
              </w:rPr>
              <w:t>§ 17.2(m)</w:t>
            </w:r>
          </w:p>
        </w:tc>
        <w:tc>
          <w:tcPr>
            <w:tcW w:w="2520" w:type="dxa"/>
            <w:shd w:val="clear" w:color="auto" w:fill="auto"/>
          </w:tcPr>
          <w:p w14:paraId="19769D4D" w14:textId="77777777" w:rsidR="00CA5C32" w:rsidRPr="003A5B17" w:rsidRDefault="00CA5C32" w:rsidP="00067634">
            <w:pPr>
              <w:pStyle w:val="MarginText"/>
              <w:overflowPunct w:val="0"/>
              <w:autoSpaceDE w:val="0"/>
              <w:autoSpaceDN w:val="0"/>
              <w:spacing w:after="0"/>
              <w:textAlignment w:val="baseline"/>
              <w:rPr>
                <w:rFonts w:eastAsia="Times New Roman"/>
                <w:sz w:val="22"/>
                <w:szCs w:val="22"/>
              </w:rPr>
            </w:pPr>
          </w:p>
        </w:tc>
        <w:tc>
          <w:tcPr>
            <w:tcW w:w="2387" w:type="dxa"/>
            <w:shd w:val="clear" w:color="auto" w:fill="auto"/>
          </w:tcPr>
          <w:p w14:paraId="767D4C97" w14:textId="77777777" w:rsidR="00CA5C32" w:rsidRPr="003A5B17" w:rsidRDefault="00CA5C32" w:rsidP="00067634">
            <w:pPr>
              <w:pStyle w:val="MarginText"/>
              <w:overflowPunct w:val="0"/>
              <w:autoSpaceDE w:val="0"/>
              <w:autoSpaceDN w:val="0"/>
              <w:spacing w:after="0"/>
              <w:textAlignment w:val="baseline"/>
              <w:rPr>
                <w:rFonts w:eastAsia="Times New Roman"/>
                <w:sz w:val="22"/>
                <w:szCs w:val="22"/>
              </w:rPr>
            </w:pPr>
          </w:p>
        </w:tc>
      </w:tr>
    </w:tbl>
    <w:p w14:paraId="7C8EAF33" w14:textId="77777777" w:rsidR="00CA5C32" w:rsidRDefault="00CA5C32" w:rsidP="00CA5C32">
      <w:pPr>
        <w:tabs>
          <w:tab w:val="left" w:pos="1985"/>
          <w:tab w:val="left" w:pos="4253"/>
          <w:tab w:val="left" w:pos="7020"/>
          <w:tab w:val="right" w:pos="9360"/>
        </w:tabs>
        <w:ind w:left="4253" w:hanging="4253"/>
        <w:rPr>
          <w:sz w:val="20"/>
          <w:szCs w:val="20"/>
        </w:rPr>
      </w:pPr>
      <w:r w:rsidRPr="00EE4C75">
        <w:rPr>
          <w:szCs w:val="22"/>
        </w:rPr>
        <w:tab/>
      </w:r>
    </w:p>
    <w:p w14:paraId="08E4247A" w14:textId="77777777" w:rsidR="00CA5C32" w:rsidRPr="003A5B17" w:rsidRDefault="00CA5C32" w:rsidP="00CA5C32">
      <w:pPr>
        <w:tabs>
          <w:tab w:val="left" w:pos="2977"/>
          <w:tab w:val="left" w:pos="7020"/>
          <w:tab w:val="right" w:pos="8931"/>
        </w:tabs>
        <w:ind w:left="2977" w:hanging="2977"/>
        <w:rPr>
          <w:rFonts w:eastAsia="STZhongsong"/>
          <w:kern w:val="28"/>
          <w:sz w:val="20"/>
          <w:szCs w:val="20"/>
        </w:rPr>
      </w:pPr>
      <w:r>
        <w:rPr>
          <w:sz w:val="20"/>
          <w:szCs w:val="20"/>
        </w:rPr>
        <w:tab/>
      </w:r>
      <w:r w:rsidRPr="00EE4C75">
        <w:rPr>
          <w:rFonts w:eastAsia="Times New Roman"/>
          <w:sz w:val="20"/>
          <w:szCs w:val="20"/>
        </w:rPr>
        <w:t>[</w:t>
      </w:r>
      <w:r w:rsidRPr="003A5B17">
        <w:rPr>
          <w:rFonts w:eastAsia="Times New Roman"/>
          <w:sz w:val="20"/>
          <w:szCs w:val="20"/>
        </w:rPr>
        <w:t>  </w:t>
      </w:r>
      <w:r w:rsidRPr="00EE4C75">
        <w:rPr>
          <w:rFonts w:eastAsia="Times New Roman"/>
          <w:sz w:val="20"/>
          <w:szCs w:val="20"/>
        </w:rPr>
        <w:t>]</w:t>
      </w:r>
      <w:r w:rsidRPr="003A5B17">
        <w:rPr>
          <w:rFonts w:eastAsia="Times New Roman"/>
          <w:sz w:val="20"/>
          <w:szCs w:val="20"/>
        </w:rPr>
        <w:t> </w:t>
      </w:r>
      <w:r w:rsidRPr="00EE4C75">
        <w:rPr>
          <w:rFonts w:eastAsia="Times New Roman"/>
          <w:sz w:val="20"/>
          <w:szCs w:val="20"/>
        </w:rPr>
        <w:t xml:space="preserve">In addition, </w:t>
      </w:r>
      <w:r>
        <w:rPr>
          <w:rFonts w:eastAsia="Times New Roman"/>
          <w:sz w:val="20"/>
          <w:szCs w:val="20"/>
        </w:rPr>
        <w:t xml:space="preserve">Party A </w:t>
      </w:r>
      <w:r w:rsidRPr="00EE4C75">
        <w:rPr>
          <w:rFonts w:eastAsia="Times New Roman"/>
          <w:sz w:val="20"/>
          <w:szCs w:val="20"/>
        </w:rPr>
        <w:t xml:space="preserve">represents and warrants the following: </w:t>
      </w:r>
      <w:r w:rsidRPr="00EE4C75">
        <w:rPr>
          <w:rFonts w:eastAsia="Times New Roman"/>
          <w:sz w:val="20"/>
          <w:szCs w:val="20"/>
        </w:rPr>
        <w:br/>
      </w:r>
      <w:r w:rsidRPr="003A5B17">
        <w:rPr>
          <w:rFonts w:eastAsia="STZhongsong"/>
          <w:kern w:val="28"/>
          <w:sz w:val="20"/>
          <w:szCs w:val="20"/>
          <w:u w:val="single"/>
        </w:rPr>
        <w:tab/>
      </w:r>
      <w:r w:rsidRPr="003A5B17">
        <w:rPr>
          <w:rFonts w:eastAsia="STZhongsong"/>
          <w:kern w:val="28"/>
          <w:sz w:val="20"/>
          <w:szCs w:val="20"/>
          <w:u w:val="single"/>
        </w:rPr>
        <w:tab/>
      </w:r>
    </w:p>
    <w:p w14:paraId="335813FE" w14:textId="77777777" w:rsidR="00CA5C32" w:rsidRDefault="00CA5C32" w:rsidP="00CA5C32">
      <w:pPr>
        <w:pStyle w:val="MarginText"/>
        <w:tabs>
          <w:tab w:val="left" w:pos="2977"/>
          <w:tab w:val="left" w:pos="8931"/>
        </w:tabs>
        <w:ind w:left="2977" w:hanging="2977"/>
      </w:pPr>
      <w:r>
        <w:rPr>
          <w:rFonts w:eastAsia="Times New Roman"/>
        </w:rPr>
        <w:tab/>
      </w:r>
      <w:r w:rsidRPr="00EE4C75">
        <w:rPr>
          <w:rFonts w:eastAsia="Times New Roman"/>
        </w:rPr>
        <w:t>[</w:t>
      </w:r>
      <w:r w:rsidRPr="00C64054">
        <w:rPr>
          <w:rFonts w:eastAsia="Times New Roman"/>
        </w:rPr>
        <w:t>  </w:t>
      </w:r>
      <w:r w:rsidRPr="00EE4C75">
        <w:rPr>
          <w:rFonts w:eastAsia="Times New Roman"/>
        </w:rPr>
        <w:t>]</w:t>
      </w:r>
      <w:r w:rsidRPr="00C64054">
        <w:rPr>
          <w:rFonts w:eastAsia="Times New Roman"/>
        </w:rPr>
        <w:t> </w:t>
      </w:r>
      <w:r w:rsidRPr="00EE4C75">
        <w:rPr>
          <w:rFonts w:eastAsia="Times New Roman"/>
        </w:rPr>
        <w:t xml:space="preserve">In addition, </w:t>
      </w:r>
      <w:r>
        <w:rPr>
          <w:rFonts w:eastAsia="Times New Roman"/>
        </w:rPr>
        <w:t>Party B</w:t>
      </w:r>
      <w:r w:rsidRPr="00EE4C75">
        <w:rPr>
          <w:rFonts w:eastAsia="Times New Roman"/>
        </w:rPr>
        <w:t xml:space="preserve"> represents and warrants the following: </w:t>
      </w:r>
      <w:r w:rsidRPr="00EE4C75">
        <w:rPr>
          <w:rFonts w:eastAsia="Times New Roman"/>
        </w:rPr>
        <w:br/>
      </w:r>
      <w:r w:rsidRPr="00C64054">
        <w:rPr>
          <w:u w:val="single"/>
        </w:rPr>
        <w:tab/>
      </w:r>
    </w:p>
    <w:p w14:paraId="5503CF8A" w14:textId="7408EA94" w:rsidR="00CA5C32" w:rsidRPr="00DF68FA" w:rsidRDefault="008342D0" w:rsidP="00CA5C32">
      <w:pPr>
        <w:pStyle w:val="MarginText"/>
        <w:keepNext/>
        <w:jc w:val="center"/>
        <w:rPr>
          <w:b/>
          <w:sz w:val="22"/>
          <w:szCs w:val="22"/>
        </w:rPr>
      </w:pPr>
      <w:r w:rsidRPr="008342D0">
        <w:rPr>
          <w:b/>
          <w:sz w:val="22"/>
          <w:szCs w:val="22"/>
        </w:rPr>
        <w:t>§ 18</w:t>
      </w:r>
      <w:r w:rsidR="00CA5C32" w:rsidRPr="00DF68FA">
        <w:rPr>
          <w:b/>
          <w:sz w:val="22"/>
          <w:szCs w:val="22"/>
        </w:rPr>
        <w:br/>
      </w:r>
      <w:r w:rsidR="00CA5C32" w:rsidRPr="00DF68FA">
        <w:rPr>
          <w:b/>
          <w:sz w:val="22"/>
          <w:szCs w:val="22"/>
          <w:u w:val="single"/>
        </w:rPr>
        <w:t>Governing Law and Arbitration</w:t>
      </w:r>
    </w:p>
    <w:p w14:paraId="0246186E" w14:textId="724BA020" w:rsidR="009265C1" w:rsidRDefault="008342D0" w:rsidP="000E6677">
      <w:pPr>
        <w:pStyle w:val="MarginText"/>
        <w:spacing w:after="0"/>
      </w:pPr>
      <w:r w:rsidRPr="008342D0">
        <w:rPr>
          <w:b/>
        </w:rPr>
        <w:t>§ 18.1</w:t>
      </w:r>
      <w:r w:rsidR="00DA50B5">
        <w:rPr>
          <w:b/>
        </w:rPr>
        <w:t xml:space="preserve"> </w:t>
      </w:r>
      <w:r w:rsidR="009265C1">
        <w:rPr>
          <w:b/>
        </w:rPr>
        <w:t>Governing Law</w:t>
      </w:r>
      <w:r w:rsidR="00CA5C32" w:rsidRPr="00DF68FA">
        <w:rPr>
          <w:b/>
        </w:rPr>
        <w:t>:</w:t>
      </w:r>
      <w:r w:rsidR="000E6677">
        <w:rPr>
          <w:b/>
        </w:rPr>
        <w:tab/>
      </w:r>
      <w:r w:rsidR="000E6677">
        <w:rPr>
          <w:b/>
        </w:rPr>
        <w:tab/>
      </w:r>
      <w:r w:rsidR="009265C1">
        <w:t>Governing law shall be</w:t>
      </w:r>
      <w:r w:rsidR="009007C4">
        <w:t xml:space="preserve"> the substantive law of</w:t>
      </w:r>
      <w:r w:rsidR="009265C1">
        <w:t>:</w:t>
      </w:r>
    </w:p>
    <w:p w14:paraId="205257ED" w14:textId="729F8A1B" w:rsidR="009265C1" w:rsidRPr="000E6677" w:rsidRDefault="00B05C1F" w:rsidP="009265C1">
      <w:pPr>
        <w:pStyle w:val="MarginText"/>
        <w:ind w:left="2880"/>
      </w:pPr>
      <w:r w:rsidRPr="000E6677">
        <w:t>___________________________________________</w:t>
      </w:r>
      <w:r w:rsidDel="00B05C1F">
        <w:t xml:space="preserve"> </w:t>
      </w:r>
    </w:p>
    <w:p w14:paraId="6C4364E8" w14:textId="31E04673" w:rsidR="00CA5C32" w:rsidRPr="000E6677" w:rsidRDefault="008342D0" w:rsidP="000E6677">
      <w:pPr>
        <w:pStyle w:val="MarginText"/>
        <w:ind w:left="2880" w:hanging="2880"/>
      </w:pPr>
      <w:r w:rsidRPr="008342D0">
        <w:rPr>
          <w:b/>
          <w:bCs/>
        </w:rPr>
        <w:t>§ 18.2</w:t>
      </w:r>
      <w:r w:rsidR="000E6677" w:rsidRPr="000E6677">
        <w:rPr>
          <w:b/>
          <w:bCs/>
        </w:rPr>
        <w:t xml:space="preserve"> </w:t>
      </w:r>
      <w:r w:rsidR="000E6677" w:rsidRPr="00E87E2B">
        <w:rPr>
          <w:b/>
          <w:bCs/>
        </w:rPr>
        <w:t>Arbitration:</w:t>
      </w:r>
      <w:r w:rsidR="000E6677" w:rsidRPr="000E6677">
        <w:tab/>
        <w:t xml:space="preserve">[  ] </w:t>
      </w:r>
      <w:r w:rsidRPr="008342D0">
        <w:t>§ 18.2</w:t>
      </w:r>
      <w:r w:rsidR="000E6677" w:rsidRPr="000E6677">
        <w:t xml:space="preserve"> shall apply and t</w:t>
      </w:r>
      <w:r w:rsidR="00CA5C32" w:rsidRPr="000E6677">
        <w:t>he language of the arbitration shall be:</w:t>
      </w:r>
      <w:r w:rsidR="00CA5C32" w:rsidRPr="000E6677">
        <w:br/>
        <w:t>___________________________________________</w:t>
      </w:r>
    </w:p>
    <w:p w14:paraId="708307B2" w14:textId="1828E7BE" w:rsidR="00CA5C32" w:rsidRDefault="000E6677" w:rsidP="00CA5C32">
      <w:pPr>
        <w:rPr>
          <w:sz w:val="20"/>
          <w:szCs w:val="20"/>
        </w:rPr>
      </w:pPr>
      <w:r w:rsidRPr="000E6677">
        <w:rPr>
          <w:sz w:val="20"/>
          <w:szCs w:val="20"/>
        </w:rPr>
        <w:tab/>
      </w:r>
      <w:r w:rsidRPr="000E6677">
        <w:rPr>
          <w:sz w:val="20"/>
          <w:szCs w:val="20"/>
        </w:rPr>
        <w:tab/>
      </w:r>
      <w:r w:rsidRPr="000E6677">
        <w:rPr>
          <w:sz w:val="20"/>
          <w:szCs w:val="20"/>
        </w:rPr>
        <w:tab/>
      </w:r>
      <w:r w:rsidRPr="000E6677">
        <w:rPr>
          <w:sz w:val="20"/>
          <w:szCs w:val="20"/>
        </w:rPr>
        <w:tab/>
      </w:r>
      <w:r w:rsidR="004039AD">
        <w:rPr>
          <w:b/>
          <w:i/>
          <w:sz w:val="20"/>
          <w:szCs w:val="20"/>
        </w:rPr>
        <w:t>o</w:t>
      </w:r>
      <w:r w:rsidRPr="000E6677">
        <w:rPr>
          <w:b/>
          <w:i/>
          <w:sz w:val="20"/>
          <w:szCs w:val="20"/>
        </w:rPr>
        <w:t xml:space="preserve">therwise </w:t>
      </w:r>
      <w:r w:rsidRPr="000E6677">
        <w:rPr>
          <w:sz w:val="20"/>
          <w:szCs w:val="20"/>
        </w:rPr>
        <w:t xml:space="preserve"> </w:t>
      </w:r>
      <w:r w:rsidR="00231DC8" w:rsidRPr="00231DC8">
        <w:rPr>
          <w:sz w:val="20"/>
          <w:szCs w:val="20"/>
        </w:rPr>
        <w:t>§ 18.2</w:t>
      </w:r>
      <w:r w:rsidR="00231DC8">
        <w:rPr>
          <w:sz w:val="20"/>
          <w:szCs w:val="20"/>
        </w:rPr>
        <w:t xml:space="preserve"> </w:t>
      </w:r>
      <w:r w:rsidRPr="000E6677">
        <w:rPr>
          <w:sz w:val="20"/>
          <w:szCs w:val="20"/>
        </w:rPr>
        <w:t xml:space="preserve">shall </w:t>
      </w:r>
      <w:r w:rsidRPr="000E6677">
        <w:rPr>
          <w:sz w:val="20"/>
          <w:szCs w:val="20"/>
          <w:u w:val="single"/>
        </w:rPr>
        <w:t>not</w:t>
      </w:r>
      <w:r>
        <w:rPr>
          <w:sz w:val="20"/>
          <w:szCs w:val="20"/>
        </w:rPr>
        <w:t xml:space="preserve"> </w:t>
      </w:r>
      <w:r w:rsidRPr="000E6677">
        <w:rPr>
          <w:sz w:val="20"/>
          <w:szCs w:val="20"/>
        </w:rPr>
        <w:t>apply and</w:t>
      </w:r>
      <w:r>
        <w:rPr>
          <w:sz w:val="20"/>
          <w:szCs w:val="20"/>
        </w:rPr>
        <w:t xml:space="preserve"> the following shall apply:</w:t>
      </w:r>
    </w:p>
    <w:p w14:paraId="3E640DB5" w14:textId="77777777" w:rsidR="000E6677" w:rsidRPr="000E6677" w:rsidRDefault="000E6677" w:rsidP="000E6677">
      <w:pPr>
        <w:pStyle w:val="MarginText"/>
        <w:ind w:left="2835"/>
      </w:pPr>
      <w:r w:rsidRPr="000E6677">
        <w:t>___________________________________________</w:t>
      </w:r>
    </w:p>
    <w:p w14:paraId="28C08AAC" w14:textId="55B79DD6" w:rsidR="00CA5C32" w:rsidRDefault="00231DC8" w:rsidP="00E87E2B">
      <w:pPr>
        <w:pStyle w:val="MarginText"/>
        <w:spacing w:after="0"/>
      </w:pPr>
      <w:r w:rsidRPr="00231DC8">
        <w:rPr>
          <w:b/>
        </w:rPr>
        <w:t>§ 18.3</w:t>
      </w:r>
      <w:r w:rsidR="00CA5C32" w:rsidRPr="000E6677">
        <w:rPr>
          <w:b/>
        </w:rPr>
        <w:t xml:space="preserve"> Expert Determination:</w:t>
      </w:r>
      <w:r w:rsidR="00E87E2B">
        <w:rPr>
          <w:b/>
        </w:rPr>
        <w:tab/>
      </w:r>
      <w:r w:rsidR="00CA5C32">
        <w:t>[  ] </w:t>
      </w:r>
      <w:r w:rsidRPr="00231DC8">
        <w:t>§ 18.3</w:t>
      </w:r>
      <w:r w:rsidR="009265C1" w:rsidRPr="009265C1">
        <w:rPr>
          <w:bCs/>
        </w:rPr>
        <w:t xml:space="preserve"> </w:t>
      </w:r>
      <w:r w:rsidR="00CA5C32">
        <w:t>shall apply;</w:t>
      </w:r>
    </w:p>
    <w:p w14:paraId="7D94B26F" w14:textId="1814370C" w:rsidR="00CA5C32" w:rsidRPr="00DF68FA" w:rsidRDefault="00CA5C32" w:rsidP="00CA5C32">
      <w:pPr>
        <w:pStyle w:val="MarginText"/>
        <w:ind w:left="2835"/>
      </w:pPr>
      <w:r w:rsidRPr="00C64361">
        <w:rPr>
          <w:b/>
          <w:i/>
        </w:rPr>
        <w:t>otherwise</w:t>
      </w:r>
      <w:r>
        <w:t xml:space="preserve"> </w:t>
      </w:r>
      <w:r w:rsidR="00231DC8" w:rsidRPr="00231DC8">
        <w:t>§ 18.3</w:t>
      </w:r>
      <w:r w:rsidR="009265C1" w:rsidRPr="009265C1">
        <w:rPr>
          <w:bCs/>
        </w:rPr>
        <w:t xml:space="preserve"> </w:t>
      </w:r>
      <w:r>
        <w:t xml:space="preserve">shall </w:t>
      </w:r>
      <w:r w:rsidRPr="00C64361">
        <w:rPr>
          <w:u w:val="single"/>
        </w:rPr>
        <w:t>not</w:t>
      </w:r>
      <w:r>
        <w:t xml:space="preserve"> apply</w:t>
      </w:r>
    </w:p>
    <w:p w14:paraId="4C8E573E" w14:textId="55B33BB0" w:rsidR="00CA5C32" w:rsidRPr="00DF68FA" w:rsidRDefault="00231DC8" w:rsidP="00CA5C32">
      <w:pPr>
        <w:pStyle w:val="MarginText"/>
        <w:keepNext/>
        <w:jc w:val="center"/>
        <w:rPr>
          <w:b/>
          <w:sz w:val="22"/>
          <w:szCs w:val="22"/>
        </w:rPr>
      </w:pPr>
      <w:r w:rsidRPr="00231DC8">
        <w:rPr>
          <w:b/>
          <w:sz w:val="22"/>
          <w:szCs w:val="22"/>
        </w:rPr>
        <w:t>§ 19</w:t>
      </w:r>
      <w:r w:rsidR="00CA5C32" w:rsidRPr="00DF68FA">
        <w:rPr>
          <w:b/>
          <w:sz w:val="22"/>
          <w:szCs w:val="22"/>
        </w:rPr>
        <w:br/>
      </w:r>
      <w:r w:rsidR="00CA5C32" w:rsidRPr="00DF68FA">
        <w:rPr>
          <w:b/>
          <w:sz w:val="22"/>
          <w:szCs w:val="22"/>
          <w:u w:val="single"/>
        </w:rPr>
        <w:t>Miscellaneous</w:t>
      </w:r>
    </w:p>
    <w:p w14:paraId="0BB5B660" w14:textId="06467DB6" w:rsidR="00CA5C32" w:rsidRPr="00DF68FA" w:rsidRDefault="00231DC8" w:rsidP="00CA5C32">
      <w:pPr>
        <w:pStyle w:val="MarginText"/>
        <w:keepNext/>
        <w:rPr>
          <w:b/>
        </w:rPr>
      </w:pPr>
      <w:r w:rsidRPr="00231DC8">
        <w:rPr>
          <w:b/>
        </w:rPr>
        <w:t>§ 19.1</w:t>
      </w:r>
      <w:r w:rsidR="00E15760">
        <w:rPr>
          <w:b/>
        </w:rPr>
        <w:t xml:space="preserve"> </w:t>
      </w:r>
      <w:r w:rsidR="00CA5C32" w:rsidRPr="00DF68FA">
        <w:rPr>
          <w:b/>
        </w:rPr>
        <w:t>Notices, Invoices and Payments:</w:t>
      </w:r>
    </w:p>
    <w:p w14:paraId="552233FA" w14:textId="77777777" w:rsidR="00CA5C32" w:rsidRPr="00DF68FA" w:rsidRDefault="00CA5C32" w:rsidP="00CA5C32">
      <w:pPr>
        <w:pStyle w:val="MarginText"/>
        <w:keepNext/>
        <w:ind w:left="720"/>
        <w:rPr>
          <w:b/>
        </w:rPr>
      </w:pPr>
      <w:r w:rsidRPr="00DF68FA">
        <w:t>(a)</w:t>
      </w:r>
      <w:r w:rsidRPr="00DF68FA">
        <w:tab/>
      </w:r>
      <w:r w:rsidRPr="00DF68FA">
        <w:rPr>
          <w:b/>
        </w:rPr>
        <w:t>TO PARTY A:</w:t>
      </w:r>
    </w:p>
    <w:p w14:paraId="1C30D304" w14:textId="77777777" w:rsidR="00CA5C32" w:rsidRPr="00DF68FA" w:rsidRDefault="00CA5C32" w:rsidP="00CA5C32">
      <w:pPr>
        <w:pStyle w:val="MarginText"/>
        <w:keepNext/>
        <w:ind w:left="720"/>
      </w:pPr>
      <w:r w:rsidRPr="00DF68FA">
        <w:rPr>
          <w:b/>
        </w:rPr>
        <w:t>Contact and Bank Details</w:t>
      </w:r>
    </w:p>
    <w:p w14:paraId="181C0816" w14:textId="77777777" w:rsidR="00CA5C32" w:rsidRPr="00DF68FA" w:rsidRDefault="00CA5C32" w:rsidP="00CA5C32">
      <w:pPr>
        <w:pStyle w:val="MarginText"/>
        <w:keepNext/>
        <w:ind w:left="1440"/>
        <w:rPr>
          <w:b/>
        </w:rPr>
      </w:pPr>
      <w:r w:rsidRPr="00DF68FA">
        <w:rPr>
          <w:b/>
        </w:rPr>
        <w:t>Notices &amp; Correspondence</w:t>
      </w:r>
    </w:p>
    <w:p w14:paraId="066F0059" w14:textId="77777777" w:rsidR="00CA5C32" w:rsidRPr="00DF68FA" w:rsidRDefault="00CA5C32" w:rsidP="000957AF">
      <w:pPr>
        <w:pStyle w:val="MarginText"/>
        <w:keepNext/>
        <w:spacing w:after="0"/>
        <w:ind w:left="1440"/>
      </w:pPr>
      <w:r w:rsidRPr="00DF68FA">
        <w:t>Telephone No:</w:t>
      </w:r>
    </w:p>
    <w:p w14:paraId="6B6D0D54" w14:textId="77777777" w:rsidR="00CA5C32" w:rsidRPr="00DF68FA" w:rsidRDefault="00CA5C32" w:rsidP="000957AF">
      <w:pPr>
        <w:pStyle w:val="MarginText"/>
        <w:keepNext/>
        <w:spacing w:after="0"/>
        <w:ind w:left="1440"/>
      </w:pPr>
      <w:r w:rsidRPr="00DF68FA">
        <w:t>Fax No:</w:t>
      </w:r>
    </w:p>
    <w:p w14:paraId="51A535CB" w14:textId="77777777" w:rsidR="00CA5C32" w:rsidRPr="00DF68FA" w:rsidRDefault="00CA5C32" w:rsidP="000957AF">
      <w:pPr>
        <w:pStyle w:val="MarginText"/>
        <w:tabs>
          <w:tab w:val="left" w:pos="5387"/>
        </w:tabs>
        <w:spacing w:after="0"/>
        <w:ind w:left="1440"/>
      </w:pPr>
      <w:r w:rsidRPr="00DF68FA">
        <w:t>Attention:</w:t>
      </w:r>
      <w:r w:rsidRPr="00DF68FA">
        <w:tab/>
      </w:r>
      <w:r w:rsidRPr="00DF68FA">
        <w:rPr>
          <w:i/>
        </w:rPr>
        <w:t>[Job Title]</w:t>
      </w:r>
    </w:p>
    <w:p w14:paraId="4A0D8456" w14:textId="77777777" w:rsidR="00CA5C32" w:rsidRPr="00DF68FA" w:rsidRDefault="00CA5C32" w:rsidP="00CA5C32">
      <w:pPr>
        <w:pStyle w:val="MarginText"/>
        <w:tabs>
          <w:tab w:val="left" w:pos="5387"/>
        </w:tabs>
        <w:ind w:left="1440"/>
        <w:rPr>
          <w:i/>
        </w:rPr>
      </w:pPr>
      <w:r w:rsidRPr="00DF68FA">
        <w:t>With copy to:</w:t>
      </w:r>
      <w:r w:rsidRPr="00DF68FA">
        <w:tab/>
      </w:r>
      <w:r w:rsidRPr="00DF68FA">
        <w:rPr>
          <w:i/>
        </w:rPr>
        <w:t>[Job Title]</w:t>
      </w:r>
    </w:p>
    <w:p w14:paraId="039ABE0C" w14:textId="77777777" w:rsidR="00CA5C32" w:rsidRPr="00DF68FA" w:rsidRDefault="00CA5C32" w:rsidP="00CA5C32">
      <w:pPr>
        <w:pStyle w:val="MarginText"/>
        <w:ind w:left="1440"/>
        <w:rPr>
          <w:b/>
        </w:rPr>
      </w:pPr>
      <w:r w:rsidRPr="00DF68FA">
        <w:rPr>
          <w:b/>
        </w:rPr>
        <w:t>Invoices</w:t>
      </w:r>
    </w:p>
    <w:p w14:paraId="62798DED" w14:textId="77777777" w:rsidR="00CA5C32" w:rsidRPr="00DF68FA" w:rsidRDefault="00CA5C32" w:rsidP="000957AF">
      <w:pPr>
        <w:pStyle w:val="MarginText"/>
        <w:spacing w:after="0"/>
        <w:ind w:left="1440"/>
      </w:pPr>
      <w:r w:rsidRPr="00DF68FA">
        <w:t>Address:</w:t>
      </w:r>
    </w:p>
    <w:p w14:paraId="6C46A672" w14:textId="77777777" w:rsidR="00CA5C32" w:rsidRPr="00DF68FA" w:rsidRDefault="00CA5C32" w:rsidP="000957AF">
      <w:pPr>
        <w:pStyle w:val="MarginText"/>
        <w:spacing w:after="0"/>
        <w:ind w:left="1440"/>
      </w:pPr>
      <w:r w:rsidRPr="00DF68FA">
        <w:t>Fax No:</w:t>
      </w:r>
    </w:p>
    <w:p w14:paraId="6D6C4C16" w14:textId="77777777" w:rsidR="00CA5C32" w:rsidRPr="00DF68FA" w:rsidRDefault="00CA5C32" w:rsidP="00CA5C32">
      <w:pPr>
        <w:pStyle w:val="MarginText"/>
        <w:tabs>
          <w:tab w:val="left" w:pos="5387"/>
        </w:tabs>
        <w:ind w:left="1440"/>
      </w:pPr>
      <w:r w:rsidRPr="00DF68FA">
        <w:t>Attention:</w:t>
      </w:r>
      <w:r w:rsidRPr="00DF68FA">
        <w:tab/>
      </w:r>
      <w:r w:rsidRPr="00DF68FA">
        <w:rPr>
          <w:i/>
        </w:rPr>
        <w:t>[Job Title]</w:t>
      </w:r>
    </w:p>
    <w:p w14:paraId="6EAFDEC0" w14:textId="1FB338E0" w:rsidR="00CA5C32" w:rsidRDefault="00CA5C32" w:rsidP="00CA5C32">
      <w:pPr>
        <w:rPr>
          <w:rFonts w:eastAsia="STZhongsong"/>
          <w:b/>
          <w:kern w:val="28"/>
          <w:sz w:val="20"/>
          <w:szCs w:val="20"/>
        </w:rPr>
      </w:pPr>
    </w:p>
    <w:p w14:paraId="6C016834" w14:textId="77777777" w:rsidR="00CA5C32" w:rsidRPr="00DF68FA" w:rsidRDefault="00CA5C32" w:rsidP="00CA5C32">
      <w:pPr>
        <w:pStyle w:val="MarginText"/>
        <w:ind w:left="1440"/>
        <w:rPr>
          <w:b/>
        </w:rPr>
      </w:pPr>
      <w:r w:rsidRPr="00DF68FA">
        <w:rPr>
          <w:b/>
        </w:rPr>
        <w:t>Payments</w:t>
      </w:r>
    </w:p>
    <w:p w14:paraId="0D0787DB" w14:textId="77777777" w:rsidR="00CA5C32" w:rsidRPr="00DF68FA" w:rsidRDefault="00CA5C32" w:rsidP="000957AF">
      <w:pPr>
        <w:pStyle w:val="MarginText"/>
        <w:spacing w:after="0"/>
        <w:ind w:left="1440"/>
      </w:pPr>
      <w:r w:rsidRPr="00DF68FA">
        <w:t>Bank account details:</w:t>
      </w:r>
    </w:p>
    <w:p w14:paraId="420896FD" w14:textId="5B3D6C95" w:rsidR="00CA5C32" w:rsidRDefault="00CA5C32" w:rsidP="00E15760">
      <w:pPr>
        <w:pStyle w:val="MarginText"/>
        <w:spacing w:after="0"/>
        <w:ind w:left="1440"/>
      </w:pPr>
      <w:r w:rsidRPr="00DF68FA">
        <w:t>General account number:</w:t>
      </w:r>
    </w:p>
    <w:p w14:paraId="5E7B72CF" w14:textId="77777777" w:rsidR="00E15760" w:rsidRPr="00DF68FA" w:rsidRDefault="00E15760" w:rsidP="00E15760">
      <w:pPr>
        <w:pStyle w:val="MarginText"/>
        <w:spacing w:after="0"/>
        <w:ind w:left="1440"/>
      </w:pPr>
    </w:p>
    <w:p w14:paraId="25D91411" w14:textId="77777777" w:rsidR="00CA5C32" w:rsidRPr="00DF68FA" w:rsidRDefault="00CA5C32" w:rsidP="00CA5C32">
      <w:pPr>
        <w:pStyle w:val="MarginText"/>
        <w:ind w:left="720"/>
        <w:rPr>
          <w:b/>
        </w:rPr>
      </w:pPr>
      <w:r w:rsidRPr="00DF68FA">
        <w:lastRenderedPageBreak/>
        <w:t>(b)</w:t>
      </w:r>
      <w:r w:rsidRPr="00DF68FA">
        <w:tab/>
      </w:r>
      <w:r w:rsidRPr="00DF68FA">
        <w:rPr>
          <w:b/>
        </w:rPr>
        <w:t>TO PARTY B:</w:t>
      </w:r>
    </w:p>
    <w:p w14:paraId="13E38DC5" w14:textId="77777777" w:rsidR="00CA5C32" w:rsidRPr="00DF68FA" w:rsidRDefault="00CA5C32" w:rsidP="00CA5C32">
      <w:pPr>
        <w:pStyle w:val="MarginText"/>
        <w:ind w:left="720"/>
      </w:pPr>
      <w:r>
        <w:rPr>
          <w:b/>
        </w:rPr>
        <w:t>Contact</w:t>
      </w:r>
      <w:r w:rsidRPr="00DF68FA">
        <w:rPr>
          <w:b/>
        </w:rPr>
        <w:t xml:space="preserve"> and Bank Details</w:t>
      </w:r>
    </w:p>
    <w:p w14:paraId="1BC27DE2" w14:textId="77777777" w:rsidR="00CA5C32" w:rsidRPr="00DF68FA" w:rsidRDefault="00CA5C32" w:rsidP="00CA5C32">
      <w:pPr>
        <w:pStyle w:val="MarginText"/>
        <w:ind w:left="1440"/>
        <w:rPr>
          <w:b/>
        </w:rPr>
      </w:pPr>
      <w:r w:rsidRPr="00DF68FA">
        <w:rPr>
          <w:b/>
        </w:rPr>
        <w:t>Notices &amp; Correspondence</w:t>
      </w:r>
    </w:p>
    <w:p w14:paraId="0F640D3D" w14:textId="77777777" w:rsidR="00CA5C32" w:rsidRPr="00DF68FA" w:rsidRDefault="00CA5C32" w:rsidP="000957AF">
      <w:pPr>
        <w:pStyle w:val="MarginText"/>
        <w:spacing w:after="0"/>
        <w:ind w:left="1440"/>
      </w:pPr>
      <w:r w:rsidRPr="00DF68FA">
        <w:t>Telephone No:</w:t>
      </w:r>
    </w:p>
    <w:p w14:paraId="0C5C913D" w14:textId="77777777" w:rsidR="00CA5C32" w:rsidRPr="00DF68FA" w:rsidRDefault="00CA5C32" w:rsidP="000957AF">
      <w:pPr>
        <w:pStyle w:val="MarginText"/>
        <w:spacing w:after="0"/>
        <w:ind w:left="1440"/>
      </w:pPr>
      <w:r w:rsidRPr="00DF68FA">
        <w:t>Fax No:</w:t>
      </w:r>
    </w:p>
    <w:p w14:paraId="563C8DDA" w14:textId="77777777" w:rsidR="00CA5C32" w:rsidRPr="00DF68FA" w:rsidRDefault="00CA5C32" w:rsidP="000957AF">
      <w:pPr>
        <w:pStyle w:val="MarginText"/>
        <w:tabs>
          <w:tab w:val="left" w:pos="5387"/>
        </w:tabs>
        <w:spacing w:after="0"/>
        <w:ind w:left="1440"/>
      </w:pPr>
      <w:r w:rsidRPr="00DF68FA">
        <w:t>Attention:</w:t>
      </w:r>
      <w:r w:rsidRPr="00DF68FA">
        <w:tab/>
      </w:r>
      <w:r w:rsidRPr="00DF68FA">
        <w:rPr>
          <w:i/>
        </w:rPr>
        <w:t>[Job Title]</w:t>
      </w:r>
    </w:p>
    <w:p w14:paraId="6C1AC2FA" w14:textId="77777777" w:rsidR="00CA5C32" w:rsidRPr="00DF68FA" w:rsidRDefault="00CA5C32" w:rsidP="00CA5C32">
      <w:pPr>
        <w:pStyle w:val="MarginText"/>
        <w:tabs>
          <w:tab w:val="left" w:pos="5387"/>
        </w:tabs>
        <w:ind w:left="1440"/>
      </w:pPr>
      <w:r w:rsidRPr="00DF68FA">
        <w:t>With copy to:</w:t>
      </w:r>
      <w:r w:rsidRPr="00DF68FA">
        <w:tab/>
      </w:r>
      <w:r w:rsidRPr="00DF68FA">
        <w:rPr>
          <w:i/>
        </w:rPr>
        <w:t>[Job Title]</w:t>
      </w:r>
    </w:p>
    <w:p w14:paraId="59B6E868" w14:textId="77777777" w:rsidR="00CA5C32" w:rsidRPr="00DF68FA" w:rsidRDefault="00CA5C32" w:rsidP="00CA5C32">
      <w:pPr>
        <w:pStyle w:val="MarginText"/>
        <w:ind w:left="1440"/>
        <w:rPr>
          <w:b/>
        </w:rPr>
      </w:pPr>
      <w:r w:rsidRPr="00DF68FA">
        <w:rPr>
          <w:b/>
        </w:rPr>
        <w:t>Invoices</w:t>
      </w:r>
    </w:p>
    <w:p w14:paraId="58FEB3B9" w14:textId="77777777" w:rsidR="00CA5C32" w:rsidRPr="00DF68FA" w:rsidRDefault="00CA5C32" w:rsidP="000957AF">
      <w:pPr>
        <w:pStyle w:val="MarginText"/>
        <w:spacing w:after="0"/>
        <w:ind w:left="1440"/>
      </w:pPr>
      <w:r w:rsidRPr="00DF68FA">
        <w:t>Address:</w:t>
      </w:r>
    </w:p>
    <w:p w14:paraId="3E41A729" w14:textId="77777777" w:rsidR="00CA5C32" w:rsidRPr="00DF68FA" w:rsidRDefault="00CA5C32" w:rsidP="000957AF">
      <w:pPr>
        <w:pStyle w:val="MarginText"/>
        <w:spacing w:after="0"/>
        <w:ind w:left="1440"/>
      </w:pPr>
      <w:r w:rsidRPr="00DF68FA">
        <w:t>Fax No:</w:t>
      </w:r>
    </w:p>
    <w:p w14:paraId="77B69965" w14:textId="77777777" w:rsidR="00CA5C32" w:rsidRPr="00DF68FA" w:rsidRDefault="00CA5C32" w:rsidP="00CA5C32">
      <w:pPr>
        <w:pStyle w:val="MarginText"/>
        <w:tabs>
          <w:tab w:val="left" w:pos="5387"/>
        </w:tabs>
        <w:ind w:left="1440"/>
      </w:pPr>
      <w:r w:rsidRPr="00DF68FA">
        <w:t>Attention:</w:t>
      </w:r>
      <w:r w:rsidRPr="00DF68FA">
        <w:tab/>
      </w:r>
      <w:r w:rsidRPr="00DF68FA">
        <w:rPr>
          <w:i/>
        </w:rPr>
        <w:t>[Job Title]</w:t>
      </w:r>
    </w:p>
    <w:p w14:paraId="3327BF2A" w14:textId="77777777" w:rsidR="00CA5C32" w:rsidRPr="00DF68FA" w:rsidRDefault="00CA5C32" w:rsidP="00CA5C32">
      <w:pPr>
        <w:pStyle w:val="MarginText"/>
        <w:ind w:left="1440"/>
        <w:rPr>
          <w:b/>
        </w:rPr>
      </w:pPr>
      <w:r w:rsidRPr="00DF68FA">
        <w:rPr>
          <w:b/>
        </w:rPr>
        <w:t>Payments</w:t>
      </w:r>
    </w:p>
    <w:p w14:paraId="16DD7152" w14:textId="77777777" w:rsidR="00CA5C32" w:rsidRPr="00DF68FA" w:rsidRDefault="00CA5C32" w:rsidP="000957AF">
      <w:pPr>
        <w:pStyle w:val="MarginText"/>
        <w:spacing w:after="0"/>
        <w:ind w:left="1440"/>
      </w:pPr>
      <w:r w:rsidRPr="00DF68FA">
        <w:t>Bank account details:</w:t>
      </w:r>
    </w:p>
    <w:p w14:paraId="48D02E72" w14:textId="791DF4D9" w:rsidR="00CA5C32" w:rsidRPr="00DF68FA" w:rsidRDefault="00CA5C32" w:rsidP="00E15760">
      <w:pPr>
        <w:pStyle w:val="MarginText"/>
        <w:spacing w:after="0"/>
        <w:ind w:left="1440"/>
      </w:pPr>
      <w:r w:rsidRPr="00DF68FA">
        <w:t>General account number</w:t>
      </w:r>
      <w:r w:rsidR="00E15760">
        <w:t>:</w:t>
      </w:r>
    </w:p>
    <w:p w14:paraId="7592B9EE" w14:textId="77777777" w:rsidR="00CA5C32" w:rsidRPr="00DF68FA" w:rsidRDefault="00CA5C32" w:rsidP="00CA5C32">
      <w:pPr>
        <w:pStyle w:val="MarginText"/>
        <w:spacing w:after="0"/>
        <w:ind w:left="1440"/>
      </w:pPr>
    </w:p>
    <w:p w14:paraId="344A38E4" w14:textId="7BD0691A" w:rsidR="007F1A0E" w:rsidRPr="007F1A0E" w:rsidRDefault="00CA5C32" w:rsidP="007F1A0E">
      <w:pPr>
        <w:pStyle w:val="MarginText"/>
        <w:ind w:left="1440"/>
      </w:pPr>
      <w:r w:rsidRPr="00DF68FA">
        <w:rPr>
          <w:b/>
          <w:smallCaps/>
        </w:rPr>
        <w:br w:type="page"/>
      </w:r>
    </w:p>
    <w:tbl>
      <w:tblPr>
        <w:tblStyle w:val="TableGrid"/>
        <w:tblW w:w="0" w:type="auto"/>
        <w:shd w:val="clear" w:color="auto" w:fill="E7E6E6" w:themeFill="background2"/>
        <w:tblLook w:val="04A0" w:firstRow="1" w:lastRow="0" w:firstColumn="1" w:lastColumn="0" w:noHBand="0" w:noVBand="1"/>
      </w:tblPr>
      <w:tblGrid>
        <w:gridCol w:w="9019"/>
      </w:tblGrid>
      <w:tr w:rsidR="007F1A0E" w14:paraId="59D0CABD" w14:textId="77777777" w:rsidTr="007F1A0E">
        <w:tc>
          <w:tcPr>
            <w:tcW w:w="9019" w:type="dxa"/>
            <w:shd w:val="clear" w:color="auto" w:fill="E7E6E6" w:themeFill="background2"/>
          </w:tcPr>
          <w:p w14:paraId="042D52DE" w14:textId="4783D063" w:rsidR="007F1A0E" w:rsidRDefault="007F1A0E" w:rsidP="007F1A0E">
            <w:pPr>
              <w:pStyle w:val="MarginText"/>
              <w:keepNext/>
              <w:spacing w:after="0"/>
              <w:jc w:val="center"/>
              <w:rPr>
                <w:b/>
                <w:smallCaps/>
              </w:rPr>
            </w:pPr>
            <w:r>
              <w:rPr>
                <w:b/>
                <w:smallCaps/>
              </w:rPr>
              <w:lastRenderedPageBreak/>
              <w:t>SECTION</w:t>
            </w:r>
            <w:r w:rsidRPr="00DF68FA">
              <w:rPr>
                <w:b/>
                <w:smallCaps/>
              </w:rPr>
              <w:t xml:space="preserve"> </w:t>
            </w:r>
            <w:r w:rsidR="00CC1F7C">
              <w:rPr>
                <w:b/>
                <w:smallCaps/>
              </w:rPr>
              <w:t>C</w:t>
            </w:r>
            <w:r w:rsidRPr="00DF68FA">
              <w:rPr>
                <w:b/>
                <w:smallCaps/>
              </w:rPr>
              <w:t>: ADDITIONAL PROVISIONS</w:t>
            </w:r>
          </w:p>
        </w:tc>
      </w:tr>
    </w:tbl>
    <w:p w14:paraId="1703A2B6" w14:textId="77777777" w:rsidR="007F1A0E" w:rsidRDefault="007F1A0E" w:rsidP="00CA5C32">
      <w:pPr>
        <w:pStyle w:val="MarginText"/>
        <w:keepNext/>
        <w:jc w:val="center"/>
        <w:rPr>
          <w:b/>
          <w:smallCaps/>
        </w:rPr>
      </w:pPr>
    </w:p>
    <w:p w14:paraId="5DDF4586" w14:textId="53FDA443" w:rsidR="00CA5C32" w:rsidRPr="00DF68FA" w:rsidRDefault="004F624A" w:rsidP="00CA5C32">
      <w:pPr>
        <w:pStyle w:val="MarginText"/>
        <w:keepNext/>
      </w:pPr>
      <w:r>
        <w:rPr>
          <w:rFonts w:eastAsia="Garamond"/>
          <w:i/>
        </w:rPr>
        <w:t>[This section may be used to include additional provisions and local requirements, as well as recitals to set out the economic balance between the Parties]</w:t>
      </w:r>
    </w:p>
    <w:p w14:paraId="597B0E6E" w14:textId="77777777" w:rsidR="00CA5C32" w:rsidRPr="00DF68FA" w:rsidRDefault="00CA5C32" w:rsidP="00CA5C32">
      <w:pPr>
        <w:pStyle w:val="MarginText"/>
        <w:keepNext/>
      </w:pPr>
    </w:p>
    <w:p w14:paraId="60E56940" w14:textId="77777777" w:rsidR="00CA5C32" w:rsidRPr="00DF68FA" w:rsidRDefault="00CA5C32" w:rsidP="00CA5C32">
      <w:pPr>
        <w:pStyle w:val="MarginText"/>
        <w:keepNext/>
      </w:pPr>
    </w:p>
    <w:p w14:paraId="5C03AD8A" w14:textId="77777777" w:rsidR="00CA5C32" w:rsidRPr="00DF68FA" w:rsidRDefault="00CA5C32" w:rsidP="00CA5C32">
      <w:pPr>
        <w:pStyle w:val="MarginText"/>
        <w:keepNext/>
      </w:pPr>
    </w:p>
    <w:p w14:paraId="1425798D" w14:textId="77777777" w:rsidR="00CA5C32" w:rsidRPr="00DF68FA" w:rsidRDefault="00CA5C32" w:rsidP="00CA5C32">
      <w:pPr>
        <w:pStyle w:val="MarginText"/>
        <w:keepNext/>
      </w:pPr>
    </w:p>
    <w:p w14:paraId="7CB4D7B5" w14:textId="77777777" w:rsidR="00CA5C32" w:rsidRPr="00DF68FA" w:rsidRDefault="00CA5C32" w:rsidP="00CA5C32">
      <w:pPr>
        <w:pStyle w:val="MarginText"/>
        <w:keepNext/>
      </w:pPr>
    </w:p>
    <w:p w14:paraId="40C43184" w14:textId="77777777" w:rsidR="00CA5C32" w:rsidRPr="00DF68FA" w:rsidRDefault="00CA5C32" w:rsidP="00CA5C32">
      <w:pPr>
        <w:pStyle w:val="MarginText"/>
        <w:keepNext/>
      </w:pPr>
    </w:p>
    <w:p w14:paraId="41AC6B0C" w14:textId="77777777" w:rsidR="00CA5C32" w:rsidRPr="00DF68FA" w:rsidRDefault="00CA5C32" w:rsidP="00CA5C32">
      <w:pPr>
        <w:pStyle w:val="MarginText"/>
        <w:keepNext/>
      </w:pPr>
    </w:p>
    <w:p w14:paraId="0E9379E3" w14:textId="77777777" w:rsidR="00CA5C32" w:rsidRPr="00DF68FA" w:rsidRDefault="00CA5C32" w:rsidP="00CA5C32">
      <w:pPr>
        <w:pStyle w:val="MarginText"/>
        <w:keepNext/>
      </w:pPr>
    </w:p>
    <w:p w14:paraId="4AB7BABA" w14:textId="77777777" w:rsidR="00CA5C32" w:rsidRPr="00DF68FA" w:rsidRDefault="00CA5C32" w:rsidP="00CA5C32">
      <w:pPr>
        <w:pStyle w:val="MarginText"/>
        <w:keepNext/>
      </w:pPr>
    </w:p>
    <w:p w14:paraId="0583536E" w14:textId="77777777" w:rsidR="00CA5C32" w:rsidRPr="00DF68FA" w:rsidRDefault="00CA5C32" w:rsidP="00CA5C32">
      <w:pPr>
        <w:pStyle w:val="MarginText"/>
        <w:keepNext/>
      </w:pPr>
    </w:p>
    <w:p w14:paraId="650075F9" w14:textId="25355D71" w:rsidR="00CA5C32" w:rsidRPr="00DF68FA" w:rsidRDefault="00CA5C32" w:rsidP="00CA5C32">
      <w:pPr>
        <w:pStyle w:val="MarginText"/>
        <w:keepNext/>
      </w:pPr>
      <w:r w:rsidRPr="00DF68FA">
        <w:t>Executed by the duly authorised representative of each Party effective as of the Effective Date.</w:t>
      </w:r>
    </w:p>
    <w:p w14:paraId="407182B9" w14:textId="0674DF68" w:rsidR="00CA5C32" w:rsidRDefault="00CA5C32" w:rsidP="00C349BD">
      <w:pPr>
        <w:pStyle w:val="MarginText"/>
        <w:keepNext/>
      </w:pPr>
    </w:p>
    <w:p w14:paraId="5DB0C75A" w14:textId="77777777" w:rsidR="00CA5C32" w:rsidRDefault="00CA5C32" w:rsidP="00CA5C32">
      <w:pPr>
        <w:tabs>
          <w:tab w:val="left" w:pos="4680"/>
        </w:tabs>
        <w:spacing w:before="38" w:after="579" w:line="216" w:lineRule="exact"/>
        <w:ind w:left="72"/>
        <w:textAlignment w:val="baseline"/>
        <w:rPr>
          <w:rFonts w:eastAsia="Times New Roman"/>
          <w:i/>
          <w:color w:val="000000"/>
          <w:sz w:val="20"/>
          <w:szCs w:val="20"/>
        </w:rPr>
      </w:pPr>
      <w:r>
        <w:rPr>
          <w:rFonts w:eastAsia="Times New Roman"/>
          <w:i/>
          <w:noProof/>
          <w:sz w:val="20"/>
          <w:szCs w:val="20"/>
        </w:rPr>
        <mc:AlternateContent>
          <mc:Choice Requires="wpg">
            <w:drawing>
              <wp:anchor distT="0" distB="0" distL="114300" distR="114300" simplePos="0" relativeHeight="251659264" behindDoc="0" locked="0" layoutInCell="1" allowOverlap="1" wp14:anchorId="0FEB9974" wp14:editId="5C6ABC39">
                <wp:simplePos x="0" y="0"/>
                <wp:positionH relativeFrom="column">
                  <wp:posOffset>-50165</wp:posOffset>
                </wp:positionH>
                <wp:positionV relativeFrom="paragraph">
                  <wp:posOffset>-2540</wp:posOffset>
                </wp:positionV>
                <wp:extent cx="5488940" cy="1064895"/>
                <wp:effectExtent l="0" t="0" r="16510" b="20955"/>
                <wp:wrapNone/>
                <wp:docPr id="7" name="Group 7"/>
                <wp:cNvGraphicFramePr/>
                <a:graphic xmlns:a="http://schemas.openxmlformats.org/drawingml/2006/main">
                  <a:graphicData uri="http://schemas.microsoft.com/office/word/2010/wordprocessingGroup">
                    <wpg:wgp>
                      <wpg:cNvGrpSpPr/>
                      <wpg:grpSpPr>
                        <a:xfrm>
                          <a:off x="0" y="0"/>
                          <a:ext cx="5488940" cy="1064895"/>
                          <a:chOff x="0" y="0"/>
                          <a:chExt cx="5489022" cy="1065475"/>
                        </a:xfrm>
                      </wpg:grpSpPr>
                      <wps:wsp>
                        <wps:cNvPr id="6" name="Straight Connector 6"/>
                        <wps:cNvCnPr>
                          <a:cxnSpLocks noChangeShapeType="1"/>
                        </wps:cNvCnPr>
                        <wps:spPr bwMode="auto">
                          <a:xfrm>
                            <a:off x="0" y="0"/>
                            <a:ext cx="256984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5"/>
                        <wps:cNvCnPr>
                          <a:cxnSpLocks noChangeShapeType="1"/>
                        </wps:cNvCnPr>
                        <wps:spPr bwMode="auto">
                          <a:xfrm>
                            <a:off x="2973787" y="0"/>
                            <a:ext cx="2515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 name="Straight Connector 4"/>
                        <wps:cNvCnPr>
                          <a:cxnSpLocks noChangeShapeType="1"/>
                        </wps:cNvCnPr>
                        <wps:spPr bwMode="auto">
                          <a:xfrm>
                            <a:off x="0" y="532737"/>
                            <a:ext cx="256984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 name="Straight Connector 3"/>
                        <wps:cNvCnPr>
                          <a:cxnSpLocks noChangeShapeType="1"/>
                        </wps:cNvCnPr>
                        <wps:spPr bwMode="auto">
                          <a:xfrm>
                            <a:off x="2973787" y="532737"/>
                            <a:ext cx="2515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a:off x="0" y="1065475"/>
                            <a:ext cx="256984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 name="Straight Connector 1"/>
                        <wps:cNvCnPr>
                          <a:cxnSpLocks noChangeShapeType="1"/>
                        </wps:cNvCnPr>
                        <wps:spPr bwMode="auto">
                          <a:xfrm>
                            <a:off x="2973787" y="1065475"/>
                            <a:ext cx="2515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43E821C" id="Group 7" o:spid="_x0000_s1026" style="position:absolute;margin-left:-3.95pt;margin-top:-.2pt;width:432.2pt;height:83.85pt;z-index:251659264" coordsize="54890,1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">
                <v:line id="Straight Connector 6" o:spid="_x0000_s1027" style="position:absolute;visibility:visible;mso-wrap-style:square" from="0,0" to="25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" strokeweight="1.2pt"/>
                <v:line id="Straight Connector 5" o:spid="_x0000_s1028" style="position:absolute;visibility:visible;mso-wrap-style:square" from="29737,0" to="548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" strokeweight="1.2pt"/>
                <v:line id="Straight Connector 4" o:spid="_x0000_s1029" style="position:absolute;visibility:visible;mso-wrap-style:square" from="0,5327" to="25698,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" strokeweight="1.2pt"/>
                <v:line id="Straight Connector 3" o:spid="_x0000_s1030" style="position:absolute;visibility:visible;mso-wrap-style:square" from="29737,5327" to="54890,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" strokeweight="1.2pt"/>
                <v:line id="Straight Connector 2" o:spid="_x0000_s1031" style="position:absolute;visibility:visible;mso-wrap-style:square" from="0,10654" to="25698,1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" strokeweight="1.2pt"/>
                <v:line id="Straight Connector 1" o:spid="_x0000_s1032" style="position:absolute;visibility:visible;mso-wrap-style:square" from="29737,10654" to="54890,1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" strokeweight="1.2pt"/>
              </v:group>
            </w:pict>
          </mc:Fallback>
        </mc:AlternateContent>
      </w:r>
      <w:r>
        <w:rPr>
          <w:rFonts w:eastAsia="Garamond"/>
          <w:b/>
          <w:i/>
          <w:sz w:val="20"/>
          <w:szCs w:val="20"/>
        </w:rPr>
        <w:t>[SELLER]</w:t>
      </w:r>
      <w:r>
        <w:rPr>
          <w:rFonts w:eastAsia="Times New Roman"/>
          <w:i/>
          <w:color w:val="000000"/>
          <w:sz w:val="20"/>
          <w:szCs w:val="20"/>
        </w:rPr>
        <w:tab/>
      </w:r>
      <w:r>
        <w:rPr>
          <w:rFonts w:eastAsia="Times New Roman"/>
          <w:b/>
          <w:i/>
          <w:color w:val="000000"/>
          <w:sz w:val="20"/>
          <w:szCs w:val="20"/>
        </w:rPr>
        <w:t>[BUYER]</w:t>
      </w:r>
    </w:p>
    <w:p w14:paraId="61DCA0DC" w14:textId="77777777" w:rsidR="00CA5C32" w:rsidRDefault="00CA5C32" w:rsidP="00CA5C32">
      <w:pPr>
        <w:tabs>
          <w:tab w:val="left" w:pos="4680"/>
        </w:tabs>
        <w:spacing w:before="33" w:after="589" w:line="216" w:lineRule="exact"/>
        <w:ind w:left="72"/>
        <w:textAlignment w:val="baseline"/>
        <w:rPr>
          <w:rFonts w:eastAsia="Times New Roman"/>
          <w:i/>
          <w:color w:val="000000"/>
          <w:sz w:val="20"/>
          <w:szCs w:val="20"/>
        </w:rPr>
      </w:pPr>
      <w:r>
        <w:rPr>
          <w:rFonts w:eastAsia="Times New Roman"/>
          <w:i/>
          <w:color w:val="000000"/>
          <w:sz w:val="20"/>
          <w:szCs w:val="20"/>
        </w:rPr>
        <w:t>[Name of Signatory/ies]</w:t>
      </w:r>
      <w:r>
        <w:rPr>
          <w:rFonts w:eastAsia="Times New Roman"/>
          <w:i/>
          <w:color w:val="000000"/>
          <w:sz w:val="20"/>
          <w:szCs w:val="20"/>
        </w:rPr>
        <w:tab/>
        <w:t>[Name of Signatory/ies]</w:t>
      </w:r>
    </w:p>
    <w:p w14:paraId="6813F79A" w14:textId="77777777" w:rsidR="00CA5C32" w:rsidRDefault="00CA5C32" w:rsidP="00CA5C32">
      <w:pPr>
        <w:tabs>
          <w:tab w:val="left" w:pos="4680"/>
        </w:tabs>
        <w:spacing w:before="38" w:line="216" w:lineRule="exact"/>
        <w:ind w:left="72"/>
        <w:textAlignment w:val="baseline"/>
        <w:rPr>
          <w:rFonts w:eastAsia="Times New Roman"/>
          <w:i/>
          <w:color w:val="000000"/>
          <w:sz w:val="20"/>
          <w:szCs w:val="20"/>
        </w:rPr>
      </w:pPr>
      <w:r>
        <w:rPr>
          <w:rFonts w:eastAsia="Times New Roman"/>
          <w:i/>
          <w:color w:val="000000"/>
          <w:sz w:val="20"/>
          <w:szCs w:val="20"/>
        </w:rPr>
        <w:t>[Title of Signatory/ies]</w:t>
      </w:r>
      <w:r>
        <w:rPr>
          <w:rFonts w:eastAsia="Times New Roman"/>
          <w:i/>
          <w:color w:val="000000"/>
          <w:sz w:val="20"/>
          <w:szCs w:val="20"/>
        </w:rPr>
        <w:tab/>
        <w:t>[Title of Signatory/ies]</w:t>
      </w:r>
    </w:p>
    <w:p w14:paraId="4D3D3AC1" w14:textId="77777777" w:rsidR="00FE007B" w:rsidRPr="00DF68FA" w:rsidRDefault="00FE007B">
      <w:pPr>
        <w:sectPr w:rsidR="00FE007B" w:rsidRPr="00DF68FA">
          <w:endnotePr>
            <w:numFmt w:val="decimal"/>
          </w:endnotePr>
          <w:pgSz w:w="11909" w:h="16834"/>
          <w:pgMar w:top="1440" w:right="1440" w:bottom="1797" w:left="1440" w:header="720" w:footer="720" w:gutter="0"/>
          <w:pgNumType w:start="1"/>
          <w:cols w:space="720"/>
          <w:titlePg/>
        </w:sectPr>
      </w:pPr>
    </w:p>
    <w:p w14:paraId="5DAAB15D" w14:textId="59517313" w:rsidR="004F624A" w:rsidRDefault="004F624A">
      <w:pPr>
        <w:pStyle w:val="bodystrongcentred"/>
      </w:pPr>
    </w:p>
    <w:p w14:paraId="58702E2A" w14:textId="77777777" w:rsidR="00231DC8" w:rsidRDefault="00231DC8" w:rsidP="00231DC8">
      <w:pPr>
        <w:pStyle w:val="MarginText"/>
        <w:sectPr w:rsidR="00231DC8">
          <w:footerReference w:type="default" r:id="rId14"/>
          <w:endnotePr>
            <w:numFmt w:val="decimal"/>
          </w:endnotePr>
          <w:type w:val="continuous"/>
          <w:pgSz w:w="11909" w:h="16834" w:code="9"/>
          <w:pgMar w:top="1440" w:right="1440" w:bottom="1440" w:left="1440" w:header="720" w:footer="573" w:gutter="0"/>
          <w:cols w:space="720"/>
          <w:noEndnote/>
        </w:sectPr>
      </w:pPr>
    </w:p>
    <w:p w14:paraId="6CB71959" w14:textId="5F9832D5" w:rsidR="00FE007B" w:rsidRPr="00DF68FA" w:rsidRDefault="00FE007B" w:rsidP="00231DC8">
      <w:pPr>
        <w:pStyle w:val="Heading2"/>
        <w:numPr>
          <w:ilvl w:val="0"/>
          <w:numId w:val="0"/>
        </w:numPr>
      </w:pPr>
      <w:r w:rsidRPr="00DF68FA">
        <w:rPr>
          <w:b w:val="0"/>
        </w:rPr>
        <w:lastRenderedPageBreak/>
        <w:t>be in any way affected or impaired thereby. The Parties undertake to replace any illegal, invalid or unenforceable provision with a legal, valid and enforceable provision which comes as close as possible to the invalid provision as regards its economic intent.</w:t>
      </w:r>
    </w:p>
    <w:p w14:paraId="47544E2A" w14:textId="2E4F8E73" w:rsidR="00FE007B" w:rsidRPr="00231DC8" w:rsidRDefault="00FE007B" w:rsidP="00231DC8">
      <w:pPr>
        <w:pStyle w:val="Heading2"/>
        <w:tabs>
          <w:tab w:val="clear" w:pos="720"/>
        </w:tabs>
        <w:ind w:left="0" w:firstLine="0"/>
        <w:rPr>
          <w:b w:val="0"/>
          <w:bCs/>
        </w:rPr>
      </w:pPr>
      <w:r w:rsidRPr="00DF68FA">
        <w:t xml:space="preserve">Third Party Rights: </w:t>
      </w:r>
      <w:bookmarkStart w:id="1" w:name="_Hlk33793761"/>
      <w:r w:rsidRPr="00231DC8">
        <w:rPr>
          <w:b w:val="0"/>
          <w:bCs/>
        </w:rPr>
        <w:t>The Parties do not intend that any third party shall have any rights under</w:t>
      </w:r>
      <w:r w:rsidR="006C1E21" w:rsidRPr="00231DC8">
        <w:rPr>
          <w:b w:val="0"/>
          <w:bCs/>
        </w:rPr>
        <w:t>,</w:t>
      </w:r>
      <w:r w:rsidRPr="00231DC8">
        <w:rPr>
          <w:b w:val="0"/>
          <w:bCs/>
        </w:rPr>
        <w:t xml:space="preserve"> or be able to enforce</w:t>
      </w:r>
      <w:r w:rsidR="006C1E21" w:rsidRPr="00231DC8">
        <w:rPr>
          <w:b w:val="0"/>
          <w:bCs/>
        </w:rPr>
        <w:t>,</w:t>
      </w:r>
      <w:r w:rsidRPr="00231DC8">
        <w:rPr>
          <w:b w:val="0"/>
          <w:bCs/>
        </w:rPr>
        <w:t xml:space="preserve"> the Agreement and the Parties exclude to the extent permitted under </w:t>
      </w:r>
      <w:r w:rsidR="00501665" w:rsidRPr="00231DC8">
        <w:rPr>
          <w:b w:val="0"/>
          <w:bCs/>
        </w:rPr>
        <w:t>A</w:t>
      </w:r>
      <w:r w:rsidRPr="00231DC8">
        <w:rPr>
          <w:b w:val="0"/>
          <w:bCs/>
        </w:rPr>
        <w:t xml:space="preserve">pplicable </w:t>
      </w:r>
      <w:r w:rsidR="00501665" w:rsidRPr="00231DC8">
        <w:rPr>
          <w:b w:val="0"/>
          <w:bCs/>
        </w:rPr>
        <w:t>L</w:t>
      </w:r>
      <w:r w:rsidRPr="00231DC8">
        <w:rPr>
          <w:b w:val="0"/>
          <w:bCs/>
        </w:rPr>
        <w:t>aw any such third party rights that might otherwise be implied.</w:t>
      </w:r>
      <w:bookmarkEnd w:id="1"/>
    </w:p>
    <w:p w14:paraId="3D189178" w14:textId="34FEC232" w:rsidR="009E685C" w:rsidRPr="00DF68FA" w:rsidRDefault="009E685C" w:rsidP="002A1993">
      <w:pPr>
        <w:pStyle w:val="Heading2"/>
        <w:tabs>
          <w:tab w:val="clear" w:pos="720"/>
        </w:tabs>
        <w:ind w:left="0" w:firstLine="0"/>
      </w:pPr>
      <w:r w:rsidRPr="00DF68FA">
        <w:t xml:space="preserve">Transaction Costs: </w:t>
      </w:r>
      <w:r w:rsidRPr="00DF68FA">
        <w:rPr>
          <w:b w:val="0"/>
        </w:rPr>
        <w:t>The Seller and the Buyer will each bear its own fees and expenses incurred in connection with the negotiations, preparation and execution of this Agreement and the transactions contemplated by this Agreement.</w:t>
      </w:r>
    </w:p>
    <w:p w14:paraId="08476B37" w14:textId="6528E8E3" w:rsidR="00FE007B" w:rsidRPr="007E14D6" w:rsidRDefault="00FE007B" w:rsidP="002A1993">
      <w:pPr>
        <w:pStyle w:val="Heading2"/>
        <w:numPr>
          <w:ilvl w:val="0"/>
          <w:numId w:val="0"/>
        </w:numPr>
        <w:rPr>
          <w:b w:val="0"/>
        </w:rPr>
      </w:pPr>
    </w:p>
    <w:p w14:paraId="36E8DB2C" w14:textId="77777777" w:rsidR="00FE007B" w:rsidRPr="00DF68FA" w:rsidRDefault="00FE007B">
      <w:pPr>
        <w:pStyle w:val="MarginText"/>
        <w:keepNext/>
      </w:pPr>
      <w:r w:rsidRPr="00DF68FA">
        <w:t>Executed by the duly authorised representative of each Party effective as of the Effective Date.</w:t>
      </w:r>
    </w:p>
    <w:p w14:paraId="1E2CF7AF" w14:textId="77777777" w:rsidR="00FE007B" w:rsidRPr="00DF68FA" w:rsidRDefault="00FE007B">
      <w:pPr>
        <w:pStyle w:val="MarginText"/>
        <w:keepNext/>
      </w:pPr>
    </w:p>
    <w:tbl>
      <w:tblPr>
        <w:tblW w:w="0" w:type="auto"/>
        <w:tblLook w:val="04A0" w:firstRow="1" w:lastRow="0" w:firstColumn="1" w:lastColumn="0" w:noHBand="0" w:noVBand="1"/>
      </w:tblPr>
      <w:tblGrid>
        <w:gridCol w:w="4514"/>
        <w:gridCol w:w="4515"/>
      </w:tblGrid>
      <w:tr w:rsidR="00FE007B" w:rsidRPr="00DF68FA" w14:paraId="01A03D19" w14:textId="77777777">
        <w:tc>
          <w:tcPr>
            <w:tcW w:w="4622" w:type="dxa"/>
            <w:tcBorders>
              <w:top w:val="single" w:sz="4" w:space="0" w:color="auto"/>
              <w:bottom w:val="single" w:sz="4" w:space="0" w:color="auto"/>
            </w:tcBorders>
            <w:shd w:val="clear" w:color="auto" w:fill="auto"/>
          </w:tcPr>
          <w:p w14:paraId="3E26C01A" w14:textId="77777777" w:rsidR="00FE007B" w:rsidRPr="00DF68FA" w:rsidRDefault="00FE007B">
            <w:pPr>
              <w:pStyle w:val="MarginText"/>
              <w:keepNext/>
              <w:overflowPunct w:val="0"/>
              <w:autoSpaceDE w:val="0"/>
              <w:autoSpaceDN w:val="0"/>
              <w:spacing w:before="120" w:after="120"/>
              <w:textAlignment w:val="baseline"/>
              <w:rPr>
                <w:b/>
                <w:i/>
              </w:rPr>
            </w:pPr>
            <w:r w:rsidRPr="00DF68FA">
              <w:rPr>
                <w:b/>
                <w:i/>
              </w:rPr>
              <w:t>[Name of Party]</w:t>
            </w:r>
          </w:p>
          <w:p w14:paraId="6FA482E1" w14:textId="77777777" w:rsidR="00FE007B" w:rsidRPr="00DF68FA" w:rsidRDefault="00FE007B">
            <w:pPr>
              <w:pStyle w:val="MarginText"/>
              <w:keepNext/>
              <w:overflowPunct w:val="0"/>
              <w:autoSpaceDE w:val="0"/>
              <w:autoSpaceDN w:val="0"/>
              <w:spacing w:before="120" w:after="120"/>
              <w:textAlignment w:val="baseline"/>
              <w:rPr>
                <w:b/>
                <w:i/>
              </w:rPr>
            </w:pPr>
          </w:p>
        </w:tc>
        <w:tc>
          <w:tcPr>
            <w:tcW w:w="4623" w:type="dxa"/>
            <w:tcBorders>
              <w:top w:val="single" w:sz="4" w:space="0" w:color="auto"/>
              <w:bottom w:val="single" w:sz="4" w:space="0" w:color="auto"/>
            </w:tcBorders>
            <w:shd w:val="clear" w:color="auto" w:fill="auto"/>
          </w:tcPr>
          <w:p w14:paraId="153DDEFD" w14:textId="77777777" w:rsidR="00FE007B" w:rsidRPr="00DF68FA" w:rsidRDefault="00FE007B">
            <w:pPr>
              <w:pStyle w:val="MarginText"/>
              <w:overflowPunct w:val="0"/>
              <w:autoSpaceDE w:val="0"/>
              <w:autoSpaceDN w:val="0"/>
              <w:spacing w:before="120" w:after="120"/>
              <w:textAlignment w:val="baseline"/>
              <w:rPr>
                <w:b/>
                <w:i/>
              </w:rPr>
            </w:pPr>
            <w:r w:rsidRPr="00DF68FA">
              <w:rPr>
                <w:b/>
                <w:i/>
              </w:rPr>
              <w:t>[Name of Party]</w:t>
            </w:r>
          </w:p>
        </w:tc>
      </w:tr>
      <w:tr w:rsidR="00FE007B" w:rsidRPr="00DF68FA" w14:paraId="2A1F088F" w14:textId="77777777">
        <w:tc>
          <w:tcPr>
            <w:tcW w:w="4622" w:type="dxa"/>
            <w:tcBorders>
              <w:top w:val="single" w:sz="4" w:space="0" w:color="auto"/>
              <w:bottom w:val="single" w:sz="4" w:space="0" w:color="auto"/>
            </w:tcBorders>
            <w:shd w:val="clear" w:color="auto" w:fill="auto"/>
          </w:tcPr>
          <w:p w14:paraId="7B54897F" w14:textId="77777777" w:rsidR="00FE007B" w:rsidRPr="00DF68FA" w:rsidRDefault="00FE007B">
            <w:pPr>
              <w:pStyle w:val="MarginText"/>
              <w:keepNext/>
              <w:overflowPunct w:val="0"/>
              <w:autoSpaceDE w:val="0"/>
              <w:autoSpaceDN w:val="0"/>
              <w:spacing w:before="120" w:after="120"/>
              <w:textAlignment w:val="baseline"/>
              <w:rPr>
                <w:b/>
                <w:i/>
              </w:rPr>
            </w:pPr>
            <w:r w:rsidRPr="00DF68FA">
              <w:rPr>
                <w:b/>
                <w:i/>
              </w:rPr>
              <w:t>[Name of Signatory/ies]</w:t>
            </w:r>
          </w:p>
          <w:p w14:paraId="752BCDC9" w14:textId="77777777" w:rsidR="00FE007B" w:rsidRPr="00DF68FA" w:rsidRDefault="00FE007B">
            <w:pPr>
              <w:pStyle w:val="MarginText"/>
              <w:keepNext/>
              <w:overflowPunct w:val="0"/>
              <w:autoSpaceDE w:val="0"/>
              <w:autoSpaceDN w:val="0"/>
              <w:spacing w:before="120" w:after="120"/>
              <w:textAlignment w:val="baseline"/>
              <w:rPr>
                <w:b/>
                <w:i/>
              </w:rPr>
            </w:pPr>
          </w:p>
        </w:tc>
        <w:tc>
          <w:tcPr>
            <w:tcW w:w="4623" w:type="dxa"/>
            <w:tcBorders>
              <w:top w:val="single" w:sz="4" w:space="0" w:color="auto"/>
              <w:bottom w:val="single" w:sz="4" w:space="0" w:color="auto"/>
            </w:tcBorders>
            <w:shd w:val="clear" w:color="auto" w:fill="auto"/>
          </w:tcPr>
          <w:p w14:paraId="2C829F1E" w14:textId="77777777" w:rsidR="00FE007B" w:rsidRPr="00DF68FA" w:rsidRDefault="00FE007B">
            <w:pPr>
              <w:pStyle w:val="MarginText"/>
              <w:overflowPunct w:val="0"/>
              <w:autoSpaceDE w:val="0"/>
              <w:autoSpaceDN w:val="0"/>
              <w:spacing w:before="120" w:after="120"/>
              <w:textAlignment w:val="baseline"/>
              <w:rPr>
                <w:b/>
                <w:i/>
              </w:rPr>
            </w:pPr>
            <w:r w:rsidRPr="00DF68FA">
              <w:rPr>
                <w:b/>
                <w:i/>
              </w:rPr>
              <w:t>[Name of Signatory/ies]</w:t>
            </w:r>
          </w:p>
        </w:tc>
      </w:tr>
      <w:tr w:rsidR="00FE007B" w:rsidRPr="00DF68FA" w14:paraId="62EB3A62" w14:textId="77777777">
        <w:tc>
          <w:tcPr>
            <w:tcW w:w="4622" w:type="dxa"/>
            <w:tcBorders>
              <w:top w:val="single" w:sz="4" w:space="0" w:color="auto"/>
            </w:tcBorders>
            <w:shd w:val="clear" w:color="auto" w:fill="auto"/>
          </w:tcPr>
          <w:p w14:paraId="03981472" w14:textId="77777777" w:rsidR="00FE007B" w:rsidRPr="00DF68FA" w:rsidRDefault="00FE007B">
            <w:pPr>
              <w:pStyle w:val="MarginText"/>
              <w:overflowPunct w:val="0"/>
              <w:autoSpaceDE w:val="0"/>
              <w:autoSpaceDN w:val="0"/>
              <w:spacing w:before="120" w:after="120"/>
              <w:textAlignment w:val="baseline"/>
              <w:rPr>
                <w:b/>
                <w:i/>
              </w:rPr>
            </w:pPr>
            <w:r w:rsidRPr="00DF68FA">
              <w:rPr>
                <w:b/>
                <w:i/>
              </w:rPr>
              <w:t>[Title of Signatory/ies]</w:t>
            </w:r>
          </w:p>
        </w:tc>
        <w:tc>
          <w:tcPr>
            <w:tcW w:w="4623" w:type="dxa"/>
            <w:tcBorders>
              <w:top w:val="single" w:sz="4" w:space="0" w:color="auto"/>
            </w:tcBorders>
            <w:shd w:val="clear" w:color="auto" w:fill="auto"/>
          </w:tcPr>
          <w:p w14:paraId="7C54F941" w14:textId="77777777" w:rsidR="00FE007B" w:rsidRPr="00DF68FA" w:rsidRDefault="00FE007B">
            <w:pPr>
              <w:pStyle w:val="MarginText"/>
              <w:overflowPunct w:val="0"/>
              <w:autoSpaceDE w:val="0"/>
              <w:autoSpaceDN w:val="0"/>
              <w:spacing w:before="120" w:after="120"/>
              <w:textAlignment w:val="baseline"/>
              <w:rPr>
                <w:b/>
                <w:i/>
              </w:rPr>
            </w:pPr>
            <w:r w:rsidRPr="00DF68FA">
              <w:rPr>
                <w:b/>
                <w:i/>
              </w:rPr>
              <w:t>[Title of Signatory/ies]</w:t>
            </w:r>
          </w:p>
        </w:tc>
      </w:tr>
    </w:tbl>
    <w:p w14:paraId="752BA088" w14:textId="77777777" w:rsidR="00FE007B" w:rsidRPr="00DF68FA" w:rsidRDefault="00FE007B">
      <w:pPr>
        <w:pStyle w:val="MarginText"/>
      </w:pPr>
    </w:p>
    <w:p w14:paraId="25BA86EE" w14:textId="77777777" w:rsidR="00FE007B" w:rsidRPr="00DF68FA" w:rsidRDefault="00FE007B">
      <w:pPr>
        <w:pStyle w:val="MarginText"/>
      </w:pPr>
    </w:p>
    <w:p w14:paraId="7FD7264F" w14:textId="77777777" w:rsidR="00FE007B" w:rsidRPr="00DF68FA" w:rsidRDefault="00FE007B">
      <w:pPr>
        <w:pStyle w:val="MarginText"/>
        <w:jc w:val="center"/>
        <w:sectPr w:rsidR="00FE007B" w:rsidRPr="00DF68FA" w:rsidSect="00231DC8">
          <w:footerReference w:type="default" r:id="rId15"/>
          <w:endnotePr>
            <w:numFmt w:val="decimal"/>
          </w:endnotePr>
          <w:pgSz w:w="11909" w:h="16834" w:code="9"/>
          <w:pgMar w:top="1440" w:right="1440" w:bottom="1440" w:left="1440" w:header="720" w:footer="573" w:gutter="0"/>
          <w:pgNumType w:start="19"/>
          <w:cols w:space="720"/>
          <w:noEndnote/>
        </w:sectPr>
      </w:pPr>
    </w:p>
    <w:p w14:paraId="0CCF4310" w14:textId="77777777" w:rsidR="00FE007B" w:rsidRPr="00DF68FA" w:rsidRDefault="005E7E03" w:rsidP="00780B0B">
      <w:pPr>
        <w:pStyle w:val="MarginText"/>
        <w:numPr>
          <w:ilvl w:val="0"/>
          <w:numId w:val="23"/>
        </w:numPr>
        <w:tabs>
          <w:tab w:val="left" w:pos="1418"/>
        </w:tabs>
        <w:ind w:left="1418" w:hanging="851"/>
      </w:pPr>
      <w:bookmarkStart w:id="2" w:name="_Hlk33698803"/>
      <w:r w:rsidRPr="000F2EC6">
        <w:lastRenderedPageBreak/>
        <w:t>agreed between the Parties</w:t>
      </w:r>
      <w:r w:rsidR="00FE007B" w:rsidRPr="000F2EC6">
        <w:t>;</w:t>
      </w:r>
    </w:p>
    <w:bookmarkEnd w:id="2"/>
    <w:p w14:paraId="48048489" w14:textId="4F6D9195" w:rsidR="00821347" w:rsidRDefault="00821347">
      <w:pPr>
        <w:pStyle w:val="MarginText"/>
        <w:rPr>
          <w:b/>
        </w:rPr>
      </w:pPr>
      <w:r w:rsidRPr="00B84DEC">
        <w:rPr>
          <w:b/>
        </w:rPr>
        <w:t xml:space="preserve">"Carbon Intensity" </w:t>
      </w:r>
      <w:r w:rsidR="009E2569" w:rsidRPr="00B84DEC">
        <w:t>means the greenhouse gas emission score of the Biogas [injected into the gas grid] which shall be calculated according to the methodology described in Annex V part C of RED II: E = e</w:t>
      </w:r>
      <w:r w:rsidR="009E2569" w:rsidRPr="00B84DEC">
        <w:rPr>
          <w:sz w:val="13"/>
          <w:szCs w:val="13"/>
        </w:rPr>
        <w:t xml:space="preserve">ec </w:t>
      </w:r>
      <w:r w:rsidR="009E2569" w:rsidRPr="00B84DEC">
        <w:t>+ e</w:t>
      </w:r>
      <w:r w:rsidR="009E2569" w:rsidRPr="00B84DEC">
        <w:rPr>
          <w:sz w:val="13"/>
          <w:szCs w:val="13"/>
        </w:rPr>
        <w:t xml:space="preserve">l </w:t>
      </w:r>
      <w:r w:rsidR="009E2569" w:rsidRPr="00B84DEC">
        <w:t>+ e</w:t>
      </w:r>
      <w:r w:rsidR="009E2569" w:rsidRPr="00B84DEC">
        <w:rPr>
          <w:sz w:val="13"/>
          <w:szCs w:val="13"/>
        </w:rPr>
        <w:t xml:space="preserve">p </w:t>
      </w:r>
      <w:r w:rsidR="009E2569" w:rsidRPr="00B84DEC">
        <w:t>+ e</w:t>
      </w:r>
      <w:r w:rsidR="009E2569" w:rsidRPr="00B84DEC">
        <w:rPr>
          <w:sz w:val="13"/>
          <w:szCs w:val="13"/>
        </w:rPr>
        <w:t xml:space="preserve">td </w:t>
      </w:r>
      <w:r w:rsidR="009E2569" w:rsidRPr="00B84DEC">
        <w:t>+ e</w:t>
      </w:r>
      <w:r w:rsidR="009E2569" w:rsidRPr="00B84DEC">
        <w:rPr>
          <w:sz w:val="13"/>
          <w:szCs w:val="13"/>
        </w:rPr>
        <w:t xml:space="preserve">u </w:t>
      </w:r>
      <w:r w:rsidR="009E2569" w:rsidRPr="00B84DEC">
        <w:t>– e</w:t>
      </w:r>
      <w:r w:rsidR="009E2569" w:rsidRPr="00B84DEC">
        <w:rPr>
          <w:sz w:val="13"/>
          <w:szCs w:val="13"/>
        </w:rPr>
        <w:t xml:space="preserve">sca </w:t>
      </w:r>
      <w:r w:rsidR="009E2569" w:rsidRPr="00B84DEC">
        <w:t>– e</w:t>
      </w:r>
      <w:r w:rsidR="009E2569" w:rsidRPr="00B84DEC">
        <w:rPr>
          <w:sz w:val="13"/>
          <w:szCs w:val="13"/>
        </w:rPr>
        <w:t xml:space="preserve">ccs </w:t>
      </w:r>
      <w:r w:rsidR="009E2569" w:rsidRPr="00B84DEC">
        <w:t>– e</w:t>
      </w:r>
      <w:r w:rsidR="009E2569" w:rsidRPr="00B84DEC">
        <w:rPr>
          <w:sz w:val="13"/>
          <w:szCs w:val="13"/>
        </w:rPr>
        <w:t>ccr;</w:t>
      </w:r>
    </w:p>
    <w:p w14:paraId="064C6D4C" w14:textId="06CED66B" w:rsidR="00FE007B" w:rsidRPr="00DF68FA" w:rsidRDefault="00FD26A6">
      <w:pPr>
        <w:pStyle w:val="MarginText"/>
      </w:pPr>
      <w:r>
        <w:rPr>
          <w:b/>
        </w:rPr>
        <w:t>"</w:t>
      </w:r>
      <w:r w:rsidR="00FE007B" w:rsidRPr="00DF68FA">
        <w:rPr>
          <w:b/>
        </w:rPr>
        <w:t>Central European Time</w:t>
      </w:r>
      <w:r>
        <w:rPr>
          <w:b/>
        </w:rPr>
        <w:t>"</w:t>
      </w:r>
      <w:r w:rsidR="00FE007B" w:rsidRPr="00DF68FA">
        <w:t xml:space="preserve"> or </w:t>
      </w:r>
      <w:r>
        <w:rPr>
          <w:b/>
        </w:rPr>
        <w:t>"</w:t>
      </w:r>
      <w:r w:rsidR="00FE007B" w:rsidRPr="00DF68FA">
        <w:rPr>
          <w:b/>
        </w:rPr>
        <w:t>CET</w:t>
      </w:r>
      <w:r>
        <w:rPr>
          <w:b/>
        </w:rPr>
        <w:t>"</w:t>
      </w:r>
      <w:r w:rsidR="00FE007B" w:rsidRPr="00DF68FA">
        <w:t xml:space="preserve"> means Central European Time and shall include Central European Winter Time and Central European Summer Time as applicable;</w:t>
      </w:r>
    </w:p>
    <w:p w14:paraId="3D099DBA" w14:textId="3D167016" w:rsidR="0020469A" w:rsidRPr="00DF68FA" w:rsidRDefault="00FD26A6">
      <w:pPr>
        <w:pStyle w:val="MarginText"/>
      </w:pPr>
      <w:r>
        <w:rPr>
          <w:b/>
        </w:rPr>
        <w:t>"</w:t>
      </w:r>
      <w:r w:rsidR="0020469A" w:rsidRPr="00DF68FA">
        <w:rPr>
          <w:b/>
        </w:rPr>
        <w:t>Certificate</w:t>
      </w:r>
      <w:r>
        <w:rPr>
          <w:b/>
        </w:rPr>
        <w:t>"</w:t>
      </w:r>
      <w:r w:rsidR="0020469A" w:rsidRPr="00DF68FA">
        <w:rPr>
          <w:b/>
        </w:rPr>
        <w:t xml:space="preserve"> </w:t>
      </w:r>
      <w:r w:rsidR="0020469A" w:rsidRPr="00DF68FA">
        <w:t xml:space="preserve">means </w:t>
      </w:r>
      <w:r w:rsidR="00ED7AC2">
        <w:t>a Certificate as specified in Section A of Part I (</w:t>
      </w:r>
      <w:r w:rsidR="00ED7AC2" w:rsidRPr="00ED7AC2">
        <w:rPr>
          <w:i/>
          <w:iCs/>
        </w:rPr>
        <w:t>Commercial Provisions</w:t>
      </w:r>
      <w:r w:rsidR="00ED7AC2">
        <w:t>)</w:t>
      </w:r>
      <w:r w:rsidR="00D62971" w:rsidRPr="00DF68FA">
        <w:t>;</w:t>
      </w:r>
    </w:p>
    <w:p w14:paraId="4FB82C8E" w14:textId="7B4EA45A" w:rsidR="007913A1" w:rsidRDefault="007913A1" w:rsidP="00821347">
      <w:pPr>
        <w:pStyle w:val="MarginText"/>
        <w:rPr>
          <w:b/>
        </w:rPr>
      </w:pPr>
      <w:r>
        <w:rPr>
          <w:bCs/>
        </w:rPr>
        <w:t>“</w:t>
      </w:r>
      <w:r w:rsidRPr="00084B53">
        <w:rPr>
          <w:b/>
        </w:rPr>
        <w:t>Certificate Details</w:t>
      </w:r>
      <w:r>
        <w:rPr>
          <w:bCs/>
        </w:rPr>
        <w:t xml:space="preserve">” means the specification of the Certificates provided in </w:t>
      </w:r>
      <w:r>
        <w:t>Section A of Part I (</w:t>
      </w:r>
      <w:r w:rsidRPr="00ED7AC2">
        <w:rPr>
          <w:i/>
          <w:iCs/>
        </w:rPr>
        <w:t>Commercial Provisions</w:t>
      </w:r>
      <w:r>
        <w:t>)</w:t>
      </w:r>
      <w:r w:rsidRPr="00DF68FA">
        <w:t>;</w:t>
      </w:r>
    </w:p>
    <w:p w14:paraId="1A944891" w14:textId="7AD16FBA" w:rsidR="00821347" w:rsidRPr="00DF68FA" w:rsidRDefault="00821347" w:rsidP="00821347">
      <w:pPr>
        <w:pStyle w:val="MarginText"/>
      </w:pPr>
      <w:r w:rsidRPr="006D6ACF">
        <w:rPr>
          <w:b/>
        </w:rPr>
        <w:t>"</w:t>
      </w:r>
      <w:r w:rsidR="006D6ACF" w:rsidRPr="006D6ACF">
        <w:rPr>
          <w:b/>
        </w:rPr>
        <w:t>Certificate</w:t>
      </w:r>
      <w:r w:rsidR="006D6ACF">
        <w:rPr>
          <w:b/>
        </w:rPr>
        <w:t>s</w:t>
      </w:r>
      <w:r w:rsidR="006D6ACF" w:rsidRPr="006D6ACF">
        <w:rPr>
          <w:b/>
        </w:rPr>
        <w:t xml:space="preserve"> Issuance and Registry Rules </w:t>
      </w:r>
      <w:r w:rsidRPr="006D6ACF">
        <w:rPr>
          <w:b/>
        </w:rPr>
        <w:t>"</w:t>
      </w:r>
      <w:r w:rsidRPr="006D6ACF">
        <w:t xml:space="preserve"> means [</w:t>
      </w:r>
      <w:r w:rsidRPr="00B84DEC">
        <w:rPr>
          <w:i/>
          <w:iCs/>
        </w:rPr>
        <w:t>insert</w:t>
      </w:r>
      <w:r w:rsidRPr="006D6ACF">
        <w:t>];</w:t>
      </w:r>
      <w:r w:rsidRPr="00DF68FA">
        <w:t xml:space="preserve"> </w:t>
      </w:r>
    </w:p>
    <w:p w14:paraId="5D6FB31E" w14:textId="40DFEB4A" w:rsidR="00E74726" w:rsidRPr="00051D96" w:rsidRDefault="00E74726" w:rsidP="00E74726">
      <w:pPr>
        <w:pStyle w:val="MarginText"/>
      </w:pPr>
      <w:r w:rsidRPr="00051D96">
        <w:rPr>
          <w:b/>
        </w:rPr>
        <w:t>"Certificates Registry"</w:t>
      </w:r>
      <w:r w:rsidRPr="00051D96">
        <w:t xml:space="preserve"> means the entity </w:t>
      </w:r>
      <w:r w:rsidRPr="00051D96">
        <w:rPr>
          <w:u w:val="single"/>
        </w:rPr>
        <w:t>specified in Section A of Part I (</w:t>
      </w:r>
      <w:r w:rsidRPr="00051D96">
        <w:rPr>
          <w:i/>
          <w:iCs/>
          <w:u w:val="single"/>
        </w:rPr>
        <w:t>Commercial Provisions</w:t>
      </w:r>
      <w:r w:rsidRPr="00051D96">
        <w:rPr>
          <w:u w:val="single"/>
        </w:rPr>
        <w:t>)</w:t>
      </w:r>
      <w:r w:rsidRPr="00051D96">
        <w:t xml:space="preserve"> through which a Party is obliged to perform its Delivery, acceptance or cancellation obligation</w:t>
      </w:r>
      <w:r w:rsidR="00ED78CD">
        <w:t>, as applicable</w:t>
      </w:r>
      <w:r w:rsidRPr="00051D96">
        <w:t>;</w:t>
      </w:r>
    </w:p>
    <w:p w14:paraId="21376522" w14:textId="63EFD88E" w:rsidR="00E74726" w:rsidRPr="00DF68FA" w:rsidRDefault="00E74726" w:rsidP="00E74726">
      <w:pPr>
        <w:pStyle w:val="MarginText"/>
      </w:pPr>
      <w:r w:rsidRPr="00051D96">
        <w:rPr>
          <w:b/>
        </w:rPr>
        <w:t xml:space="preserve">"Certificates Registry Operator" </w:t>
      </w:r>
      <w:r w:rsidRPr="00051D96">
        <w:rPr>
          <w:bCs/>
        </w:rPr>
        <w:t>means</w:t>
      </w:r>
      <w:r w:rsidRPr="00051D96">
        <w:rPr>
          <w:b/>
        </w:rPr>
        <w:t xml:space="preserve"> </w:t>
      </w:r>
      <w:r w:rsidRPr="00051D96">
        <w:t xml:space="preserve">the entity </w:t>
      </w:r>
      <w:r w:rsidRPr="00051D96">
        <w:rPr>
          <w:u w:val="single"/>
        </w:rPr>
        <w:t>specified in Section A of Part I (</w:t>
      </w:r>
      <w:r w:rsidRPr="00051D96">
        <w:rPr>
          <w:i/>
          <w:iCs/>
          <w:u w:val="single"/>
        </w:rPr>
        <w:t>Commercial Provisions</w:t>
      </w:r>
      <w:r w:rsidRPr="00051D96">
        <w:rPr>
          <w:u w:val="single"/>
        </w:rPr>
        <w:t>)</w:t>
      </w:r>
      <w:r w:rsidRPr="00051D96">
        <w:t xml:space="preserve"> which is responsible for the operation of the </w:t>
      </w:r>
      <w:r w:rsidR="006D6ACF" w:rsidRPr="00051D96">
        <w:rPr>
          <w:bCs/>
        </w:rPr>
        <w:t>Certificates</w:t>
      </w:r>
      <w:r w:rsidR="006D6ACF" w:rsidRPr="00051D96">
        <w:rPr>
          <w:b/>
        </w:rPr>
        <w:t xml:space="preserve"> </w:t>
      </w:r>
      <w:r w:rsidRPr="00051D96">
        <w:t>Registry;</w:t>
      </w:r>
      <w:r w:rsidRPr="00DF68FA">
        <w:t xml:space="preserve"> </w:t>
      </w:r>
    </w:p>
    <w:p w14:paraId="2E76B4F0" w14:textId="75EA7B32" w:rsidR="00301AE3" w:rsidRPr="00DF68FA" w:rsidRDefault="00FD26A6">
      <w:pPr>
        <w:pStyle w:val="MarginText"/>
      </w:pPr>
      <w:r>
        <w:rPr>
          <w:b/>
        </w:rPr>
        <w:t>"</w:t>
      </w:r>
      <w:r w:rsidR="004829AB">
        <w:rPr>
          <w:b/>
        </w:rPr>
        <w:t>Change in Law or Standard</w:t>
      </w:r>
      <w:r>
        <w:rPr>
          <w:b/>
        </w:rPr>
        <w:t>"</w:t>
      </w:r>
      <w:r w:rsidR="00301AE3" w:rsidRPr="00DF68FA">
        <w:rPr>
          <w:b/>
        </w:rPr>
        <w:t xml:space="preserve"> </w:t>
      </w:r>
      <w:bookmarkStart w:id="3" w:name="_Hlk33794407"/>
      <w:r w:rsidR="00301AE3" w:rsidRPr="00DF68FA">
        <w:t>means the enactment, promulgation, execution or ratification of, or any change in or amendment to, or repeal or other cancellation of, any Law (or in the application or official interpretation of any Law by a judgment or decision of any court, tribunal or regulatory bodies);</w:t>
      </w:r>
      <w:bookmarkEnd w:id="3"/>
    </w:p>
    <w:p w14:paraId="1B081A5B" w14:textId="626C35BC" w:rsidR="00FE007B" w:rsidRPr="00DF68FA" w:rsidRDefault="00FD26A6">
      <w:pPr>
        <w:pStyle w:val="MarginText"/>
      </w:pPr>
      <w:r>
        <w:rPr>
          <w:b/>
        </w:rPr>
        <w:t>"</w:t>
      </w:r>
      <w:r w:rsidR="00FE007B" w:rsidRPr="00DF68FA">
        <w:rPr>
          <w:b/>
        </w:rPr>
        <w:t>Claiming Party</w:t>
      </w:r>
      <w:r>
        <w:rPr>
          <w:b/>
        </w:rPr>
        <w:t>"</w:t>
      </w:r>
      <w:r w:rsidR="00FE007B" w:rsidRPr="00DF68FA">
        <w:t xml:space="preserve"> has the meaning specified in </w:t>
      </w:r>
      <w:r w:rsidR="00E53008" w:rsidRPr="00E53008">
        <w:t>§ 5.1</w:t>
      </w:r>
      <w:r w:rsidR="00FE007B" w:rsidRPr="00DF68FA">
        <w:t xml:space="preserve"> (</w:t>
      </w:r>
      <w:r w:rsidR="00FE007B" w:rsidRPr="00DF68FA">
        <w:rPr>
          <w:i/>
        </w:rPr>
        <w:t>Definition of Force Majeure</w:t>
      </w:r>
      <w:r w:rsidR="00FE007B" w:rsidRPr="00DF68FA">
        <w:t xml:space="preserve">); </w:t>
      </w:r>
    </w:p>
    <w:p w14:paraId="20E7CD42" w14:textId="77777777" w:rsidR="008649B1" w:rsidRPr="00DF68FA" w:rsidRDefault="00FD26A6">
      <w:pPr>
        <w:pStyle w:val="MarginText"/>
      </w:pPr>
      <w:r>
        <w:rPr>
          <w:b/>
        </w:rPr>
        <w:t>"</w:t>
      </w:r>
      <w:r w:rsidR="008649B1" w:rsidRPr="00DF68FA">
        <w:rPr>
          <w:b/>
        </w:rPr>
        <w:t>Competent Authority</w:t>
      </w:r>
      <w:r>
        <w:rPr>
          <w:b/>
        </w:rPr>
        <w:t>"</w:t>
      </w:r>
      <w:r w:rsidR="008649B1" w:rsidRPr="00DF68FA">
        <w:t xml:space="preserve"> means any national, federal, regional, local or other authority, ministry, inspectorate, department, court, arbitral tribunal, administrative agency or commission or any other governmental, municipal, administrative or regulatory body (in each case to the extent each of the foregoing has jurisdiction over either or both of the Parties, this Agreement and/or the subject matter of this Agreement);</w:t>
      </w:r>
    </w:p>
    <w:p w14:paraId="162D3E64" w14:textId="479A9036" w:rsidR="006D7AE8" w:rsidRDefault="006D7AE8">
      <w:pPr>
        <w:pStyle w:val="MarginText"/>
        <w:rPr>
          <w:b/>
        </w:rPr>
      </w:pPr>
      <w:r w:rsidRPr="00B84DEC">
        <w:rPr>
          <w:b/>
        </w:rPr>
        <w:t>"</w:t>
      </w:r>
      <w:r w:rsidRPr="00B84DEC">
        <w:rPr>
          <w:b/>
          <w:bCs/>
        </w:rPr>
        <w:t>Competent Body for the Designated Purpose</w:t>
      </w:r>
      <w:r w:rsidRPr="00B84DEC">
        <w:rPr>
          <w:b/>
        </w:rPr>
        <w:t>"</w:t>
      </w:r>
      <w:r w:rsidRPr="00B84DEC">
        <w:t xml:space="preserve"> means an entity or authority competent to recognise or reject Certificates for the Designated Purpose, as specified in </w:t>
      </w:r>
      <w:r w:rsidR="00264C5B">
        <w:t>Appendix </w:t>
      </w:r>
      <w:r w:rsidR="007B39E1">
        <w:t>2</w:t>
      </w:r>
      <w:r w:rsidR="00264C5B">
        <w:t xml:space="preserve"> (</w:t>
      </w:r>
      <w:r w:rsidR="00AB3B92" w:rsidRPr="00AB3B92">
        <w:rPr>
          <w:i/>
          <w:iCs/>
        </w:rPr>
        <w:t>Greenhouse Gas Protocol</w:t>
      </w:r>
      <w:r w:rsidR="00264C5B">
        <w:t>)</w:t>
      </w:r>
      <w:r w:rsidR="00264C5B" w:rsidRPr="00F9364C">
        <w:t xml:space="preserve">, </w:t>
      </w:r>
      <w:r w:rsidR="00264C5B" w:rsidRPr="00534BEB">
        <w:t>Appendix </w:t>
      </w:r>
      <w:r w:rsidR="007B39E1">
        <w:t>3</w:t>
      </w:r>
      <w:r w:rsidR="00264C5B">
        <w:t xml:space="preserve"> </w:t>
      </w:r>
      <w:r w:rsidR="00264C5B" w:rsidRPr="00CD211A">
        <w:rPr>
          <w:i/>
          <w:iCs/>
        </w:rPr>
        <w:t>EU ETS Scheme as transposed by Applicable Law</w:t>
      </w:r>
      <w:r w:rsidR="00264C5B">
        <w:t>)</w:t>
      </w:r>
      <w:r w:rsidR="00264C5B" w:rsidRPr="00F9364C">
        <w:t xml:space="preserve">, </w:t>
      </w:r>
      <w:r w:rsidR="00264C5B" w:rsidRPr="00534BEB">
        <w:t>Appendix </w:t>
      </w:r>
      <w:r w:rsidR="007B39E1">
        <w:t>4</w:t>
      </w:r>
      <w:r w:rsidR="00264C5B" w:rsidRPr="00F9364C">
        <w:t xml:space="preserve"> </w:t>
      </w:r>
      <w:r w:rsidR="00264C5B" w:rsidRPr="00CD211A">
        <w:t>(</w:t>
      </w:r>
      <w:r w:rsidR="00264C5B" w:rsidRPr="00CD211A">
        <w:rPr>
          <w:i/>
          <w:iCs/>
        </w:rPr>
        <w:t>National Fuels Quota Scheme</w:t>
      </w:r>
      <w:r w:rsidR="00264C5B" w:rsidRPr="00CD211A">
        <w:t xml:space="preserve">) </w:t>
      </w:r>
      <w:r w:rsidR="00264C5B" w:rsidRPr="00F9364C">
        <w:t xml:space="preserve">and/or </w:t>
      </w:r>
      <w:r w:rsidR="00264C5B" w:rsidRPr="00534BEB">
        <w:t>Appendix </w:t>
      </w:r>
      <w:r w:rsidR="007B39E1">
        <w:t>5</w:t>
      </w:r>
      <w:r w:rsidR="00264C5B">
        <w:t xml:space="preserve"> (</w:t>
      </w:r>
      <w:r w:rsidR="00264C5B" w:rsidRPr="00CD211A">
        <w:rPr>
          <w:i/>
        </w:rPr>
        <w:t>National Emissions Trading Scheme</w:t>
      </w:r>
      <w:r w:rsidR="00264C5B">
        <w:t>)</w:t>
      </w:r>
      <w:r w:rsidRPr="00B84DEC">
        <w:t>, as applicable;</w:t>
      </w:r>
    </w:p>
    <w:p w14:paraId="77BA194A" w14:textId="278A7861" w:rsidR="00FE007B" w:rsidRPr="00DF68FA" w:rsidRDefault="00FD26A6">
      <w:pPr>
        <w:pStyle w:val="MarginText"/>
      </w:pPr>
      <w:r>
        <w:rPr>
          <w:b/>
        </w:rPr>
        <w:t>"</w:t>
      </w:r>
      <w:r w:rsidR="00FE007B" w:rsidRPr="00DF68FA">
        <w:rPr>
          <w:b/>
        </w:rPr>
        <w:t>Confidential Information</w:t>
      </w:r>
      <w:r>
        <w:rPr>
          <w:b/>
        </w:rPr>
        <w:t>"</w:t>
      </w:r>
      <w:r w:rsidR="00FE007B" w:rsidRPr="00DF68FA">
        <w:t xml:space="preserve"> has the meaning specified in </w:t>
      </w:r>
      <w:r w:rsidR="00CF3939" w:rsidRPr="00CF3939">
        <w:t>§ 16.1</w:t>
      </w:r>
      <w:r w:rsidR="00FE007B" w:rsidRPr="00DF68FA">
        <w:t xml:space="preserve"> (</w:t>
      </w:r>
      <w:r w:rsidR="00FE007B" w:rsidRPr="00DF68FA">
        <w:rPr>
          <w:i/>
        </w:rPr>
        <w:t>Confidentiality</w:t>
      </w:r>
      <w:r w:rsidR="00697B70" w:rsidRPr="00DF68FA">
        <w:rPr>
          <w:i/>
        </w:rPr>
        <w:t xml:space="preserve"> Obligation</w:t>
      </w:r>
      <w:r w:rsidR="00FE007B" w:rsidRPr="00DF68FA">
        <w:t xml:space="preserve">); </w:t>
      </w:r>
    </w:p>
    <w:p w14:paraId="1411EB0E" w14:textId="2C81DB36" w:rsidR="00FE007B" w:rsidRPr="00DF68FA" w:rsidRDefault="00FD26A6">
      <w:pPr>
        <w:pStyle w:val="MarginText"/>
      </w:pPr>
      <w:r>
        <w:rPr>
          <w:b/>
        </w:rPr>
        <w:t>"</w:t>
      </w:r>
      <w:r w:rsidR="00FE007B" w:rsidRPr="00DF68FA">
        <w:rPr>
          <w:b/>
        </w:rPr>
        <w:t>Contract Price</w:t>
      </w:r>
      <w:r>
        <w:rPr>
          <w:b/>
        </w:rPr>
        <w:t>"</w:t>
      </w:r>
      <w:r w:rsidR="00FE007B" w:rsidRPr="00DF68FA">
        <w:t xml:space="preserve"> means the price agreed between the Parties;</w:t>
      </w:r>
    </w:p>
    <w:p w14:paraId="0E7325CC" w14:textId="004DE94A" w:rsidR="00FE007B" w:rsidRPr="00DF68FA" w:rsidRDefault="00FD26A6">
      <w:pPr>
        <w:pStyle w:val="MarginText"/>
      </w:pPr>
      <w:r>
        <w:rPr>
          <w:b/>
        </w:rPr>
        <w:t>"</w:t>
      </w:r>
      <w:r w:rsidR="00FE007B" w:rsidRPr="00DF68FA">
        <w:rPr>
          <w:b/>
        </w:rPr>
        <w:t>Contract Quantity</w:t>
      </w:r>
      <w:r>
        <w:rPr>
          <w:b/>
        </w:rPr>
        <w:t>"</w:t>
      </w:r>
      <w:r w:rsidR="00FE007B" w:rsidRPr="00DF68FA">
        <w:t xml:space="preserve"> means </w:t>
      </w:r>
      <w:r w:rsidR="008D5672">
        <w:t xml:space="preserve">a </w:t>
      </w:r>
      <w:r w:rsidR="00FE007B" w:rsidRPr="00DF68FA">
        <w:t>quantity</w:t>
      </w:r>
      <w:r w:rsidR="008D5672">
        <w:t xml:space="preserve"> of Certificates</w:t>
      </w:r>
      <w:r w:rsidR="007D28B0">
        <w:t>,</w:t>
      </w:r>
      <w:r w:rsidR="00FE007B" w:rsidRPr="00DF68FA">
        <w:t xml:space="preserve"> </w:t>
      </w:r>
      <w:r w:rsidR="008D5672">
        <w:t>or one or more Cancellation Statements representing a quantity of Certificates</w:t>
      </w:r>
      <w:r w:rsidR="007D28B0">
        <w:t>,</w:t>
      </w:r>
      <w:r w:rsidR="008D5672">
        <w:t xml:space="preserve"> equal to the quantity </w:t>
      </w:r>
      <w:r w:rsidR="00FE007B" w:rsidRPr="00DF68FA">
        <w:t>expressed in MWh</w:t>
      </w:r>
      <w:r w:rsidR="008D5672">
        <w:t xml:space="preserve"> </w:t>
      </w:r>
      <w:r w:rsidR="008D5672" w:rsidRPr="00DF68FA">
        <w:t>agreed between the Parties</w:t>
      </w:r>
      <w:r w:rsidR="00FE007B" w:rsidRPr="00DF68FA">
        <w:t>;</w:t>
      </w:r>
    </w:p>
    <w:p w14:paraId="727DAEF1" w14:textId="77777777" w:rsidR="00FE007B" w:rsidRPr="00DF68FA" w:rsidRDefault="00FD26A6">
      <w:pPr>
        <w:pStyle w:val="MarginText"/>
      </w:pPr>
      <w:r>
        <w:rPr>
          <w:b/>
        </w:rPr>
        <w:t>"</w:t>
      </w:r>
      <w:r w:rsidR="00FE007B" w:rsidRPr="00DF68FA">
        <w:rPr>
          <w:b/>
        </w:rPr>
        <w:t>Control</w:t>
      </w:r>
      <w:r>
        <w:rPr>
          <w:b/>
        </w:rPr>
        <w:t>"</w:t>
      </w:r>
      <w:r w:rsidR="00FE007B" w:rsidRPr="00DF68FA">
        <w:t xml:space="preserve"> means ownership of more than fifty per cent (50%) of the voting power of a Party or Entity and </w:t>
      </w:r>
      <w:r>
        <w:rPr>
          <w:b/>
        </w:rPr>
        <w:t>"</w:t>
      </w:r>
      <w:r w:rsidR="00FE007B" w:rsidRPr="00DF68FA">
        <w:rPr>
          <w:b/>
        </w:rPr>
        <w:t>Controlled</w:t>
      </w:r>
      <w:r>
        <w:rPr>
          <w:b/>
        </w:rPr>
        <w:t>"</w:t>
      </w:r>
      <w:r w:rsidR="00FE007B" w:rsidRPr="00DF68FA">
        <w:t xml:space="preserve"> or </w:t>
      </w:r>
      <w:r>
        <w:rPr>
          <w:b/>
        </w:rPr>
        <w:t>"</w:t>
      </w:r>
      <w:r w:rsidR="00FE007B" w:rsidRPr="00DF68FA">
        <w:rPr>
          <w:b/>
        </w:rPr>
        <w:t>Controlling</w:t>
      </w:r>
      <w:r>
        <w:rPr>
          <w:b/>
        </w:rPr>
        <w:t>"</w:t>
      </w:r>
      <w:r w:rsidR="00FE007B" w:rsidRPr="00DF68FA">
        <w:t xml:space="preserve"> shall be construed accordingly;</w:t>
      </w:r>
    </w:p>
    <w:p w14:paraId="7E8107D8" w14:textId="47FF4650" w:rsidR="00FE007B" w:rsidRPr="00DF68FA" w:rsidRDefault="00FD26A6">
      <w:pPr>
        <w:pStyle w:val="MarginText"/>
      </w:pPr>
      <w:r>
        <w:rPr>
          <w:b/>
        </w:rPr>
        <w:t>"</w:t>
      </w:r>
      <w:r w:rsidR="00FE007B" w:rsidRPr="00DF68FA">
        <w:rPr>
          <w:b/>
        </w:rPr>
        <w:t>Costs</w:t>
      </w:r>
      <w:r>
        <w:rPr>
          <w:b/>
        </w:rPr>
        <w:t>"</w:t>
      </w:r>
      <w:r w:rsidR="00FE007B" w:rsidRPr="00DF68FA">
        <w:t xml:space="preserve"> has the meaning specified in </w:t>
      </w:r>
      <w:r w:rsidR="00D07194" w:rsidRPr="00D07194">
        <w:t>§ 9.2(a)</w:t>
      </w:r>
      <w:r w:rsidR="00FE007B" w:rsidRPr="00DF68FA">
        <w:t xml:space="preserve"> (</w:t>
      </w:r>
      <w:r w:rsidR="00FE007B" w:rsidRPr="00DF68FA">
        <w:rPr>
          <w:i/>
        </w:rPr>
        <w:t>Settlement Amount</w:t>
      </w:r>
      <w:r w:rsidR="00FE007B" w:rsidRPr="00DF68FA">
        <w:t>);</w:t>
      </w:r>
    </w:p>
    <w:p w14:paraId="3716E986" w14:textId="77777777" w:rsidR="00FE007B" w:rsidRPr="00DF68FA" w:rsidRDefault="00FD26A6">
      <w:pPr>
        <w:pStyle w:val="MarginText"/>
      </w:pPr>
      <w:r>
        <w:rPr>
          <w:b/>
        </w:rPr>
        <w:t>"</w:t>
      </w:r>
      <w:r w:rsidR="00FE007B" w:rsidRPr="00DF68FA">
        <w:rPr>
          <w:b/>
        </w:rPr>
        <w:t>Credit Rating</w:t>
      </w:r>
      <w:r>
        <w:rPr>
          <w:b/>
        </w:rPr>
        <w:t>"</w:t>
      </w:r>
      <w:r w:rsidR="00FE007B" w:rsidRPr="00DF68FA">
        <w:t xml:space="preserve"> means in respect of an Entity any of the following: (i) the long-term unsecured, unsubordinated (unsupported by third party credit enhancement) public debt rating; (ii) the debt issuer's credit rating; or (iii) the corporate credit rating given to that entity, in each of cases (i) to (iii) by Standard &amp; Poor's Rating Group (a division of McGraw-Hill Inc.) or Moody's Investor Services Inc.;</w:t>
      </w:r>
    </w:p>
    <w:p w14:paraId="5B2946E3" w14:textId="77777777" w:rsidR="00231DC8" w:rsidRDefault="00FD26A6">
      <w:pPr>
        <w:pStyle w:val="MarginText"/>
        <w:sectPr w:rsidR="00231DC8">
          <w:footerReference w:type="default" r:id="rId16"/>
          <w:endnotePr>
            <w:numFmt w:val="decimal"/>
          </w:endnotePr>
          <w:pgSz w:w="11909" w:h="16834" w:code="9"/>
          <w:pgMar w:top="1440" w:right="1440" w:bottom="1440" w:left="1440" w:header="720" w:footer="573" w:gutter="0"/>
          <w:pgNumType w:start="1"/>
          <w:cols w:space="720"/>
          <w:noEndnote/>
        </w:sectPr>
      </w:pPr>
      <w:r>
        <w:rPr>
          <w:b/>
        </w:rPr>
        <w:t>"</w:t>
      </w:r>
      <w:r w:rsidR="00FE007B" w:rsidRPr="00DF68FA">
        <w:rPr>
          <w:b/>
        </w:rPr>
        <w:t>Credit Support Documents</w:t>
      </w:r>
      <w:r>
        <w:rPr>
          <w:b/>
        </w:rPr>
        <w:t>"</w:t>
      </w:r>
      <w:r w:rsidR="00FE007B" w:rsidRPr="00DF68FA">
        <w:t xml:space="preserve"> has the meaning specified with respect to a Party specified in the Election Sheet, which may include, without limitation, a parent guarantee, bank guarantee, letter of awareness, letter of credit or any credit support agreement;</w:t>
      </w:r>
    </w:p>
    <w:p w14:paraId="145B028D" w14:textId="77777777" w:rsidR="00FE007B" w:rsidRPr="00DF68FA" w:rsidRDefault="00FE007B">
      <w:pPr>
        <w:pStyle w:val="MarginText"/>
        <w:jc w:val="center"/>
        <w:rPr>
          <w:b/>
          <w:sz w:val="44"/>
          <w:szCs w:val="44"/>
        </w:rPr>
      </w:pPr>
      <w:r w:rsidRPr="00DF68FA">
        <w:rPr>
          <w:b/>
          <w:sz w:val="44"/>
          <w:szCs w:val="44"/>
        </w:rPr>
        <w:lastRenderedPageBreak/>
        <w:t>EFET</w:t>
      </w:r>
    </w:p>
    <w:p w14:paraId="027D8E54" w14:textId="3A32739E" w:rsidR="00FE007B" w:rsidRDefault="00FE007B">
      <w:pPr>
        <w:pStyle w:val="MarginText"/>
        <w:jc w:val="center"/>
        <w:rPr>
          <w:b/>
          <w:sz w:val="36"/>
          <w:szCs w:val="36"/>
        </w:rPr>
      </w:pPr>
      <w:r w:rsidRPr="00DF68FA">
        <w:rPr>
          <w:b/>
          <w:sz w:val="36"/>
          <w:szCs w:val="36"/>
        </w:rPr>
        <w:t>European Federation of Energy Traders</w:t>
      </w:r>
    </w:p>
    <w:p w14:paraId="3C8A4EC3" w14:textId="20FC6AEE" w:rsidR="00130258" w:rsidRDefault="00130258">
      <w:pPr>
        <w:pStyle w:val="MarginText"/>
        <w:jc w:val="center"/>
        <w:rPr>
          <w:b/>
          <w:sz w:val="36"/>
          <w:szCs w:val="36"/>
        </w:rPr>
      </w:pPr>
    </w:p>
    <w:p w14:paraId="015D9C37" w14:textId="77777777" w:rsidR="00130258" w:rsidRPr="00067634" w:rsidRDefault="00130258" w:rsidP="00130258">
      <w:pPr>
        <w:pStyle w:val="MarginText"/>
        <w:jc w:val="center"/>
        <w:rPr>
          <w:b/>
          <w:bCs/>
          <w:caps/>
          <w:sz w:val="24"/>
          <w:szCs w:val="24"/>
        </w:rPr>
      </w:pPr>
      <w:r w:rsidRPr="00067634">
        <w:rPr>
          <w:b/>
          <w:bCs/>
          <w:caps/>
          <w:sz w:val="24"/>
          <w:szCs w:val="24"/>
        </w:rPr>
        <w:t>Biogas Certificates Standard Agreement for Single Trade</w:t>
      </w:r>
    </w:p>
    <w:p w14:paraId="3377BD3F" w14:textId="63A59036" w:rsidR="005C3DA8" w:rsidRPr="00DF68FA" w:rsidRDefault="002940FE" w:rsidP="002940FE">
      <w:pPr>
        <w:pStyle w:val="AppHead"/>
        <w:numPr>
          <w:ilvl w:val="0"/>
          <w:numId w:val="0"/>
        </w:numPr>
      </w:pPr>
      <w:bookmarkStart w:id="4" w:name="_Ref121325674"/>
      <w:r>
        <w:t>APPENDIX 3</w:t>
      </w:r>
    </w:p>
    <w:bookmarkEnd w:id="4"/>
    <w:p w14:paraId="4BF0ACF7" w14:textId="6E02B8DC" w:rsidR="00FE007B" w:rsidRPr="00C349BD" w:rsidRDefault="00AB7B4B">
      <w:pPr>
        <w:pStyle w:val="MarginText"/>
        <w:jc w:val="center"/>
        <w:rPr>
          <w:b/>
          <w:sz w:val="28"/>
          <w:szCs w:val="28"/>
          <w:u w:val="single"/>
        </w:rPr>
      </w:pPr>
      <w:r w:rsidRPr="00C349BD">
        <w:rPr>
          <w:b/>
          <w:sz w:val="28"/>
          <w:szCs w:val="28"/>
          <w:u w:val="single"/>
        </w:rPr>
        <w:t>EU ETS Scheme</w:t>
      </w:r>
      <w:r w:rsidR="00912F47" w:rsidRPr="00C349BD">
        <w:rPr>
          <w:b/>
          <w:sz w:val="28"/>
          <w:szCs w:val="28"/>
          <w:u w:val="single"/>
        </w:rPr>
        <w:t xml:space="preserve"> as transposed by</w:t>
      </w:r>
      <w:r w:rsidR="00912F47">
        <w:rPr>
          <w:b/>
          <w:sz w:val="28"/>
          <w:szCs w:val="28"/>
          <w:u w:val="single"/>
        </w:rPr>
        <w:t xml:space="preserve"> </w:t>
      </w:r>
      <w:r w:rsidR="00A433F1">
        <w:rPr>
          <w:b/>
          <w:sz w:val="28"/>
          <w:szCs w:val="28"/>
          <w:u w:val="single"/>
        </w:rPr>
        <w:t>Applicable</w:t>
      </w:r>
      <w:r w:rsidR="00912F47">
        <w:rPr>
          <w:b/>
          <w:sz w:val="28"/>
          <w:szCs w:val="28"/>
          <w:u w:val="single"/>
        </w:rPr>
        <w:t xml:space="preserve"> </w:t>
      </w:r>
      <w:r w:rsidR="00A433F1">
        <w:rPr>
          <w:b/>
          <w:sz w:val="28"/>
          <w:szCs w:val="28"/>
          <w:u w:val="single"/>
        </w:rPr>
        <w:t>L</w:t>
      </w:r>
      <w:r w:rsidR="00912F47">
        <w:rPr>
          <w:b/>
          <w:sz w:val="28"/>
          <w:szCs w:val="28"/>
          <w:u w:val="single"/>
        </w:rPr>
        <w:t xml:space="preserve">aw – </w:t>
      </w:r>
      <w:r w:rsidR="00912F47" w:rsidRPr="00A70F91">
        <w:rPr>
          <w:b/>
          <w:sz w:val="28"/>
          <w:szCs w:val="28"/>
          <w:u w:val="single"/>
        </w:rPr>
        <w:t>AUSTRIA</w:t>
      </w:r>
    </w:p>
    <w:p w14:paraId="7336A2D4" w14:textId="7AA4DF6F" w:rsidR="002F7EDA" w:rsidRPr="00C40725" w:rsidRDefault="002F7EDA" w:rsidP="00C40725">
      <w:pPr>
        <w:pStyle w:val="ScheduleL1"/>
        <w:numPr>
          <w:ilvl w:val="0"/>
          <w:numId w:val="25"/>
        </w:numPr>
        <w:rPr>
          <w:bCs/>
          <w:sz w:val="20"/>
        </w:rPr>
      </w:pPr>
      <w:r w:rsidRPr="00C40725">
        <w:rPr>
          <w:b/>
          <w:sz w:val="20"/>
        </w:rPr>
        <w:t xml:space="preserve">Subject Matter: </w:t>
      </w:r>
      <w:r w:rsidRPr="00C40725">
        <w:rPr>
          <w:bCs/>
          <w:sz w:val="20"/>
        </w:rPr>
        <w:t>If selected as applicable in Section A of Part I (</w:t>
      </w:r>
      <w:r w:rsidRPr="00C40725">
        <w:rPr>
          <w:bCs/>
          <w:i/>
          <w:iCs/>
          <w:sz w:val="20"/>
        </w:rPr>
        <w:t>Commercial Provisions</w:t>
      </w:r>
      <w:r w:rsidRPr="00C40725">
        <w:rPr>
          <w:bCs/>
          <w:sz w:val="20"/>
        </w:rPr>
        <w:t xml:space="preserve">), this </w:t>
      </w:r>
      <w:r w:rsidR="00534BEB" w:rsidRPr="00534BEB">
        <w:rPr>
          <w:sz w:val="20"/>
        </w:rPr>
        <w:t>Appendix </w:t>
      </w:r>
      <w:r w:rsidR="002940FE">
        <w:rPr>
          <w:sz w:val="20"/>
        </w:rPr>
        <w:t>3</w:t>
      </w:r>
      <w:r w:rsidRPr="00534BEB">
        <w:rPr>
          <w:bCs/>
          <w:sz w:val="20"/>
        </w:rPr>
        <w:t xml:space="preserve"> (</w:t>
      </w:r>
      <w:r w:rsidRPr="00534BEB">
        <w:rPr>
          <w:bCs/>
          <w:i/>
          <w:iCs/>
          <w:sz w:val="20"/>
        </w:rPr>
        <w:t>EU ETS Scheme</w:t>
      </w:r>
      <w:r w:rsidRPr="00C40725">
        <w:rPr>
          <w:bCs/>
          <w:i/>
          <w:iCs/>
          <w:sz w:val="20"/>
        </w:rPr>
        <w:t xml:space="preserve"> as transposed by Applicable Law</w:t>
      </w:r>
      <w:r w:rsidRPr="00C40725">
        <w:rPr>
          <w:bCs/>
          <w:sz w:val="20"/>
        </w:rPr>
        <w:t>) forms integral part of the Biogas Certificates Standard Agreement.</w:t>
      </w:r>
    </w:p>
    <w:p w14:paraId="121198ED" w14:textId="7E342C55" w:rsidR="002F7EDA" w:rsidRPr="00477DC9" w:rsidRDefault="002F7EDA" w:rsidP="00477DC9">
      <w:pPr>
        <w:pStyle w:val="ScheduleL1"/>
        <w:rPr>
          <w:b/>
          <w:sz w:val="20"/>
        </w:rPr>
      </w:pPr>
      <w:r w:rsidRPr="00477DC9">
        <w:rPr>
          <w:b/>
          <w:sz w:val="20"/>
        </w:rPr>
        <w:t xml:space="preserve">Definitions: </w:t>
      </w:r>
      <w:r w:rsidRPr="00477DC9">
        <w:rPr>
          <w:bCs/>
          <w:sz w:val="20"/>
        </w:rPr>
        <w:t>The following additional definitions shall apply:</w:t>
      </w:r>
    </w:p>
    <w:p w14:paraId="7C32F618" w14:textId="0CA6DDFE" w:rsidR="00661BA2" w:rsidRPr="00661BA2" w:rsidRDefault="005D120E" w:rsidP="00477DC9">
      <w:pPr>
        <w:pStyle w:val="ScheduleL2"/>
        <w:rPr>
          <w:sz w:val="20"/>
        </w:rPr>
      </w:pPr>
      <w:r w:rsidRPr="006C7B84">
        <w:rPr>
          <w:b/>
          <w:sz w:val="20"/>
        </w:rPr>
        <w:t>"Applicable National Legislation":</w:t>
      </w:r>
      <w:r w:rsidRPr="00477DC9">
        <w:rPr>
          <w:sz w:val="20"/>
        </w:rPr>
        <w:t xml:space="preserve"> </w:t>
      </w:r>
      <w:r w:rsidR="00E13B5E">
        <w:rPr>
          <w:sz w:val="20"/>
        </w:rPr>
        <w:t>national legislation transposing the EU ETS Directive</w:t>
      </w:r>
      <w:r w:rsidR="00456184">
        <w:rPr>
          <w:sz w:val="20"/>
        </w:rPr>
        <w:t xml:space="preserve"> and </w:t>
      </w:r>
      <w:r w:rsidR="00456184" w:rsidRPr="00661BA2">
        <w:rPr>
          <w:sz w:val="20"/>
        </w:rPr>
        <w:t>RED</w:t>
      </w:r>
      <w:r w:rsidR="009C5554">
        <w:rPr>
          <w:sz w:val="20"/>
        </w:rPr>
        <w:t xml:space="preserve"> </w:t>
      </w:r>
      <w:r w:rsidR="00456184" w:rsidRPr="00661BA2">
        <w:rPr>
          <w:sz w:val="20"/>
        </w:rPr>
        <w:t>II</w:t>
      </w:r>
      <w:r w:rsidR="00E13B5E" w:rsidRPr="00661BA2">
        <w:rPr>
          <w:sz w:val="20"/>
        </w:rPr>
        <w:t>, in particular</w:t>
      </w:r>
      <w:r w:rsidR="00661BA2" w:rsidRPr="00661BA2">
        <w:rPr>
          <w:sz w:val="20"/>
        </w:rPr>
        <w:t>:</w:t>
      </w:r>
    </w:p>
    <w:p w14:paraId="54BED227" w14:textId="77777777" w:rsidR="00661BA2" w:rsidRPr="00661BA2" w:rsidRDefault="00BE1417" w:rsidP="00661BA2">
      <w:pPr>
        <w:pStyle w:val="ScheduleL3"/>
        <w:rPr>
          <w:sz w:val="20"/>
        </w:rPr>
      </w:pPr>
      <w:r w:rsidRPr="00661BA2">
        <w:rPr>
          <w:sz w:val="20"/>
        </w:rPr>
        <w:t>the Austrian Emissions Certificate Act</w:t>
      </w:r>
      <w:r w:rsidR="005D120E" w:rsidRPr="00661BA2">
        <w:rPr>
          <w:i/>
          <w:sz w:val="20"/>
        </w:rPr>
        <w:t xml:space="preserve"> </w:t>
      </w:r>
      <w:r w:rsidRPr="00661BA2">
        <w:rPr>
          <w:sz w:val="20"/>
        </w:rPr>
        <w:t>(</w:t>
      </w:r>
      <w:r w:rsidR="005D120E" w:rsidRPr="00661BA2">
        <w:rPr>
          <w:i/>
          <w:sz w:val="20"/>
        </w:rPr>
        <w:t>Emissionszertifikategesetz 2011 – EZG 2011</w:t>
      </w:r>
      <w:r w:rsidRPr="00661BA2">
        <w:rPr>
          <w:sz w:val="20"/>
        </w:rPr>
        <w:t>)</w:t>
      </w:r>
      <w:r w:rsidR="00661BA2" w:rsidRPr="00661BA2">
        <w:rPr>
          <w:sz w:val="20"/>
        </w:rPr>
        <w:t>;</w:t>
      </w:r>
    </w:p>
    <w:p w14:paraId="787FB9CE" w14:textId="6B70782A" w:rsidR="00661BA2" w:rsidRPr="00661BA2" w:rsidRDefault="00456184" w:rsidP="00661BA2">
      <w:pPr>
        <w:pStyle w:val="ScheduleL3"/>
        <w:rPr>
          <w:sz w:val="20"/>
          <w:lang w:val="de-AT"/>
        </w:rPr>
      </w:pPr>
      <w:r w:rsidRPr="00661BA2">
        <w:rPr>
          <w:sz w:val="20"/>
          <w:lang w:val="de-AT"/>
        </w:rPr>
        <w:t>the Austrian Biomass Energy Sustainability Ordinance (</w:t>
      </w:r>
      <w:r w:rsidRPr="00661BA2">
        <w:rPr>
          <w:i/>
          <w:iCs/>
          <w:sz w:val="20"/>
          <w:lang w:val="de-AT"/>
        </w:rPr>
        <w:t>Biomasseenergie-Nachhaltigkeitsverordnung – BMEN-VO</w:t>
      </w:r>
      <w:r w:rsidRPr="00661BA2">
        <w:rPr>
          <w:sz w:val="20"/>
          <w:lang w:val="de-AT"/>
        </w:rPr>
        <w:t>)</w:t>
      </w:r>
      <w:r w:rsidR="00661BA2" w:rsidRPr="00661BA2">
        <w:rPr>
          <w:sz w:val="20"/>
          <w:lang w:val="de-AT"/>
        </w:rPr>
        <w:t>;</w:t>
      </w:r>
    </w:p>
    <w:p w14:paraId="1BA536DA" w14:textId="77777777" w:rsidR="00661BA2" w:rsidRPr="00661BA2" w:rsidRDefault="00456184" w:rsidP="00661BA2">
      <w:pPr>
        <w:pStyle w:val="ScheduleL3"/>
        <w:rPr>
          <w:sz w:val="20"/>
          <w:lang w:val="de-AT"/>
        </w:rPr>
      </w:pPr>
      <w:r w:rsidRPr="00661BA2">
        <w:rPr>
          <w:sz w:val="20"/>
          <w:lang w:val="de-AT"/>
        </w:rPr>
        <w:t>the Austrian Sustainable Forestry Biomass Ordinance (</w:t>
      </w:r>
      <w:r w:rsidRPr="00661BA2">
        <w:rPr>
          <w:i/>
          <w:iCs/>
          <w:sz w:val="20"/>
          <w:lang w:val="de-AT"/>
        </w:rPr>
        <w:t>Nachhaltige forstwirtschaftliche Biomasse-Verordnung – NFBioV</w:t>
      </w:r>
      <w:r w:rsidR="00661BA2" w:rsidRPr="00661BA2">
        <w:rPr>
          <w:iCs/>
          <w:sz w:val="20"/>
          <w:lang w:val="de-AT"/>
        </w:rPr>
        <w:t xml:space="preserve">; </w:t>
      </w:r>
      <w:r w:rsidRPr="00661BA2">
        <w:rPr>
          <w:sz w:val="20"/>
          <w:lang w:val="de-AT"/>
        </w:rPr>
        <w:t>and</w:t>
      </w:r>
    </w:p>
    <w:p w14:paraId="08D2CECA" w14:textId="2FDBBB17" w:rsidR="005D120E" w:rsidRPr="00661BA2" w:rsidRDefault="00456184" w:rsidP="00661BA2">
      <w:pPr>
        <w:pStyle w:val="ScheduleL3"/>
        <w:rPr>
          <w:sz w:val="20"/>
          <w:lang w:val="de-AT"/>
        </w:rPr>
      </w:pPr>
      <w:r w:rsidRPr="00661BA2">
        <w:rPr>
          <w:sz w:val="20"/>
          <w:lang w:val="de-AT"/>
        </w:rPr>
        <w:t>the Austrian Sustainable Agricultural Feedstock Ordinance (</w:t>
      </w:r>
      <w:r w:rsidRPr="00661BA2">
        <w:rPr>
          <w:i/>
          <w:sz w:val="20"/>
          <w:lang w:val="de-AT"/>
        </w:rPr>
        <w:t>Nachhaltige landwirtschaftliche Ausgangsstoffe-Verordnung – NLAV</w:t>
      </w:r>
      <w:r w:rsidRPr="00661BA2">
        <w:rPr>
          <w:sz w:val="20"/>
          <w:lang w:val="de-AT"/>
        </w:rPr>
        <w:t xml:space="preserve">) </w:t>
      </w:r>
      <w:r w:rsidR="005D120E" w:rsidRPr="00661BA2">
        <w:rPr>
          <w:sz w:val="20"/>
          <w:lang w:val="de-AT"/>
        </w:rPr>
        <w:t>as amended from time to time;</w:t>
      </w:r>
    </w:p>
    <w:p w14:paraId="41179CDE" w14:textId="746D338B" w:rsidR="00A70F91" w:rsidRPr="00661BA2" w:rsidRDefault="00A70F91" w:rsidP="00477DC9">
      <w:pPr>
        <w:pStyle w:val="ScheduleL2"/>
        <w:rPr>
          <w:sz w:val="20"/>
        </w:rPr>
      </w:pPr>
      <w:r w:rsidRPr="00661BA2">
        <w:rPr>
          <w:b/>
          <w:sz w:val="20"/>
        </w:rPr>
        <w:t xml:space="preserve">"Buyer’s PoS Database": </w:t>
      </w:r>
      <w:r w:rsidRPr="00661BA2">
        <w:rPr>
          <w:sz w:val="20"/>
        </w:rPr>
        <w:t>[</w:t>
      </w:r>
      <w:r w:rsidRPr="00661BA2">
        <w:rPr>
          <w:i/>
          <w:sz w:val="20"/>
        </w:rPr>
        <w:t>insert if applicable, otherwise delete</w:t>
      </w:r>
      <w:r w:rsidRPr="00661BA2">
        <w:rPr>
          <w:sz w:val="20"/>
        </w:rPr>
        <w:t>];</w:t>
      </w:r>
    </w:p>
    <w:p w14:paraId="0C87FF40" w14:textId="1C5F4CF1" w:rsidR="000E2E65" w:rsidRPr="000E2E65" w:rsidRDefault="000E2E65" w:rsidP="00477DC9">
      <w:pPr>
        <w:pStyle w:val="ScheduleL2"/>
        <w:rPr>
          <w:sz w:val="20"/>
        </w:rPr>
      </w:pPr>
      <w:r w:rsidRPr="006C7B84">
        <w:rPr>
          <w:b/>
          <w:sz w:val="20"/>
        </w:rPr>
        <w:t>"</w:t>
      </w:r>
      <w:r>
        <w:rPr>
          <w:b/>
          <w:sz w:val="20"/>
        </w:rPr>
        <w:t xml:space="preserve">Buyer’s Account Number with the PoS </w:t>
      </w:r>
      <w:r w:rsidR="007746E7">
        <w:rPr>
          <w:b/>
          <w:sz w:val="20"/>
        </w:rPr>
        <w:t>Database</w:t>
      </w:r>
      <w:r w:rsidRPr="006C7B84">
        <w:rPr>
          <w:b/>
          <w:sz w:val="20"/>
        </w:rPr>
        <w:t>"</w:t>
      </w:r>
      <w:r>
        <w:rPr>
          <w:b/>
          <w:sz w:val="20"/>
        </w:rPr>
        <w:t xml:space="preserve">: </w:t>
      </w:r>
      <w:r>
        <w:rPr>
          <w:sz w:val="20"/>
        </w:rPr>
        <w:t>[</w:t>
      </w:r>
      <w:r w:rsidR="00A70F91">
        <w:rPr>
          <w:i/>
          <w:sz w:val="20"/>
        </w:rPr>
        <w:t>insert if applicable, otherwise delete</w:t>
      </w:r>
      <w:r>
        <w:rPr>
          <w:sz w:val="20"/>
        </w:rPr>
        <w:t>]</w:t>
      </w:r>
      <w:r w:rsidR="00A70F91">
        <w:rPr>
          <w:sz w:val="20"/>
        </w:rPr>
        <w:t>;</w:t>
      </w:r>
    </w:p>
    <w:p w14:paraId="2F92FB87" w14:textId="6A80B244" w:rsidR="005377C1" w:rsidRPr="005377C1" w:rsidRDefault="005377C1" w:rsidP="00477DC9">
      <w:pPr>
        <w:pStyle w:val="ScheduleL2"/>
        <w:rPr>
          <w:sz w:val="20"/>
        </w:rPr>
      </w:pPr>
      <w:r w:rsidRPr="006C7B84">
        <w:rPr>
          <w:b/>
          <w:sz w:val="20"/>
        </w:rPr>
        <w:t>"</w:t>
      </w:r>
      <w:r w:rsidRPr="005377C1">
        <w:rPr>
          <w:b/>
          <w:bCs/>
          <w:sz w:val="20"/>
        </w:rPr>
        <w:t>Competent Body for the Designated Purpose</w:t>
      </w:r>
      <w:r w:rsidRPr="006C7B84">
        <w:rPr>
          <w:b/>
          <w:sz w:val="20"/>
        </w:rPr>
        <w:t>"</w:t>
      </w:r>
      <w:r>
        <w:rPr>
          <w:b/>
          <w:sz w:val="20"/>
        </w:rPr>
        <w:t xml:space="preserve">: </w:t>
      </w:r>
      <w:r>
        <w:rPr>
          <w:sz w:val="20"/>
        </w:rPr>
        <w:t>[</w:t>
      </w:r>
      <w:r>
        <w:rPr>
          <w:i/>
          <w:sz w:val="20"/>
        </w:rPr>
        <w:t>insert, if traded into Austria or within Austria: Umweltbundesamt GmbH</w:t>
      </w:r>
      <w:r>
        <w:rPr>
          <w:sz w:val="20"/>
        </w:rPr>
        <w:t>]</w:t>
      </w:r>
    </w:p>
    <w:p w14:paraId="3295BF4D" w14:textId="304A5B07" w:rsidR="002F7EDA" w:rsidRPr="00477DC9" w:rsidRDefault="008B6BDB" w:rsidP="00477DC9">
      <w:pPr>
        <w:pStyle w:val="ScheduleL2"/>
        <w:rPr>
          <w:sz w:val="20"/>
        </w:rPr>
      </w:pPr>
      <w:r w:rsidRPr="006C7B84">
        <w:rPr>
          <w:b/>
          <w:sz w:val="20"/>
        </w:rPr>
        <w:t>"EU ETS Directive"</w:t>
      </w:r>
      <w:r w:rsidRPr="00477DC9">
        <w:rPr>
          <w:sz w:val="20"/>
        </w:rPr>
        <w:t xml:space="preserve"> means Directive 2003/87/EC establishing a system for greenhouse gas emission allowance trading within the Union and amending Council Directive 96/61/EC, as amended from time to time;</w:t>
      </w:r>
    </w:p>
    <w:p w14:paraId="431B1004" w14:textId="60EEEE24" w:rsidR="005D120E" w:rsidRPr="00477DC9" w:rsidRDefault="008B6BDB" w:rsidP="00477DC9">
      <w:pPr>
        <w:pStyle w:val="ScheduleL2"/>
        <w:rPr>
          <w:sz w:val="20"/>
        </w:rPr>
      </w:pPr>
      <w:r w:rsidRPr="006C7B84">
        <w:rPr>
          <w:b/>
          <w:sz w:val="20"/>
        </w:rPr>
        <w:t>"EU MRR"</w:t>
      </w:r>
      <w:r w:rsidRPr="00477DC9">
        <w:rPr>
          <w:sz w:val="20"/>
        </w:rPr>
        <w:t xml:space="preserve"> means Commission Implementing Regulation (EU) 2018/2066 on the monitoring and reporting of greenhouse gas emissions pursuant to Directive 2003/87/EC of the European Parliament and of the Council and amending Commission Regulation (EU) No 601/2012, as amended from time to time</w:t>
      </w:r>
      <w:r w:rsidR="00A858C5" w:rsidRPr="00477DC9">
        <w:rPr>
          <w:sz w:val="20"/>
        </w:rPr>
        <w:t>;</w:t>
      </w:r>
    </w:p>
    <w:p w14:paraId="0BE73FD6" w14:textId="32E26E82" w:rsidR="001136DB" w:rsidRDefault="006760F9" w:rsidP="00477DC9">
      <w:pPr>
        <w:pStyle w:val="ScheduleL2"/>
        <w:rPr>
          <w:sz w:val="20"/>
        </w:rPr>
      </w:pPr>
      <w:r w:rsidRPr="00780B0B">
        <w:rPr>
          <w:b/>
          <w:sz w:val="20"/>
        </w:rPr>
        <w:t>"</w:t>
      </w:r>
      <w:r>
        <w:rPr>
          <w:b/>
          <w:sz w:val="20"/>
        </w:rPr>
        <w:t>Law</w:t>
      </w:r>
      <w:r w:rsidRPr="00780B0B">
        <w:rPr>
          <w:b/>
          <w:sz w:val="20"/>
        </w:rPr>
        <w:t>"</w:t>
      </w:r>
      <w:r>
        <w:rPr>
          <w:sz w:val="20"/>
        </w:rPr>
        <w:t xml:space="preserve"> has the meaning given to it in Appendix 1 (</w:t>
      </w:r>
      <w:r w:rsidRPr="006760F9">
        <w:rPr>
          <w:i/>
          <w:iCs/>
          <w:sz w:val="20"/>
        </w:rPr>
        <w:t>Defined Terms</w:t>
      </w:r>
      <w:r>
        <w:rPr>
          <w:sz w:val="20"/>
        </w:rPr>
        <w:t>) and includes the following:</w:t>
      </w:r>
    </w:p>
    <w:p w14:paraId="33B6303E" w14:textId="010C1667" w:rsidR="006760F9" w:rsidRPr="006760F9" w:rsidRDefault="006760F9" w:rsidP="006760F9">
      <w:pPr>
        <w:pStyle w:val="ScheduleL3"/>
        <w:rPr>
          <w:bCs/>
        </w:rPr>
      </w:pPr>
      <w:r w:rsidRPr="006760F9">
        <w:rPr>
          <w:bCs/>
          <w:sz w:val="20"/>
        </w:rPr>
        <w:t>EU ETS Directive;</w:t>
      </w:r>
    </w:p>
    <w:p w14:paraId="47C41C06" w14:textId="6D618730" w:rsidR="006760F9" w:rsidRPr="00D84578" w:rsidRDefault="006760F9" w:rsidP="006760F9">
      <w:pPr>
        <w:pStyle w:val="ScheduleL3"/>
        <w:rPr>
          <w:bCs/>
          <w:sz w:val="20"/>
        </w:rPr>
      </w:pPr>
      <w:r w:rsidRPr="00D84578">
        <w:rPr>
          <w:bCs/>
          <w:sz w:val="20"/>
        </w:rPr>
        <w:t>EU MRR;</w:t>
      </w:r>
    </w:p>
    <w:p w14:paraId="518C1BE5" w14:textId="19E43B2A" w:rsidR="006760F9" w:rsidRPr="00D84578" w:rsidRDefault="006760F9" w:rsidP="006760F9">
      <w:pPr>
        <w:pStyle w:val="ScheduleL3"/>
        <w:rPr>
          <w:bCs/>
          <w:sz w:val="20"/>
        </w:rPr>
      </w:pPr>
      <w:r w:rsidRPr="00D84578">
        <w:rPr>
          <w:bCs/>
          <w:sz w:val="20"/>
        </w:rPr>
        <w:t>Applicable National Legislation;</w:t>
      </w:r>
    </w:p>
    <w:p w14:paraId="5C72CFA7" w14:textId="6397D4BC" w:rsidR="00541738" w:rsidRPr="00D84578" w:rsidRDefault="00541738" w:rsidP="00AA262F">
      <w:pPr>
        <w:pStyle w:val="ScheduleL2"/>
        <w:rPr>
          <w:sz w:val="20"/>
        </w:rPr>
      </w:pPr>
      <w:r w:rsidRPr="00D84578">
        <w:rPr>
          <w:b/>
          <w:sz w:val="20"/>
        </w:rPr>
        <w:lastRenderedPageBreak/>
        <w:t>"Mass Balance"</w:t>
      </w:r>
      <w:r w:rsidRPr="00D84578">
        <w:rPr>
          <w:sz w:val="20"/>
        </w:rPr>
        <w:t xml:space="preserve"> means </w:t>
      </w:r>
      <w:r w:rsidR="00D84578">
        <w:rPr>
          <w:sz w:val="20"/>
        </w:rPr>
        <w:t>the r</w:t>
      </w:r>
      <w:r w:rsidR="00D84578" w:rsidRPr="00D84578">
        <w:rPr>
          <w:sz w:val="20"/>
        </w:rPr>
        <w:t xml:space="preserve">elationship between input and output of </w:t>
      </w:r>
      <w:r w:rsidR="004C107D">
        <w:rPr>
          <w:sz w:val="20"/>
        </w:rPr>
        <w:t>Biogas</w:t>
      </w:r>
      <w:r w:rsidR="00D84578" w:rsidRPr="00D84578">
        <w:rPr>
          <w:sz w:val="20"/>
        </w:rPr>
        <w:t xml:space="preserve"> within </w:t>
      </w:r>
      <w:r w:rsidR="004C107D">
        <w:rPr>
          <w:sz w:val="20"/>
        </w:rPr>
        <w:t xml:space="preserve">the European natural gas network </w:t>
      </w:r>
      <w:r w:rsidR="00D84578" w:rsidRPr="00D84578">
        <w:rPr>
          <w:sz w:val="20"/>
        </w:rPr>
        <w:t xml:space="preserve">in which the output from the </w:t>
      </w:r>
      <w:r w:rsidR="004C107D">
        <w:rPr>
          <w:sz w:val="20"/>
        </w:rPr>
        <w:t>grid</w:t>
      </w:r>
      <w:r w:rsidR="00D84578" w:rsidRPr="00D84578">
        <w:rPr>
          <w:sz w:val="20"/>
        </w:rPr>
        <w:t xml:space="preserve"> cannot exceed the input into the </w:t>
      </w:r>
      <w:r w:rsidR="004C107D">
        <w:rPr>
          <w:sz w:val="20"/>
        </w:rPr>
        <w:t>grid;</w:t>
      </w:r>
    </w:p>
    <w:p w14:paraId="4932B6B7" w14:textId="4E35D67E" w:rsidR="00A858C5" w:rsidRDefault="00A858C5" w:rsidP="00477DC9">
      <w:pPr>
        <w:pStyle w:val="ScheduleL2"/>
        <w:rPr>
          <w:sz w:val="20"/>
        </w:rPr>
      </w:pPr>
      <w:r w:rsidRPr="00D84578">
        <w:rPr>
          <w:b/>
          <w:sz w:val="20"/>
        </w:rPr>
        <w:t>"Proof of</w:t>
      </w:r>
      <w:r w:rsidRPr="006C7B84">
        <w:rPr>
          <w:b/>
          <w:sz w:val="20"/>
        </w:rPr>
        <w:t xml:space="preserve"> Sustainability"</w:t>
      </w:r>
      <w:r w:rsidRPr="00477DC9">
        <w:rPr>
          <w:sz w:val="20"/>
        </w:rPr>
        <w:t xml:space="preserve"> or </w:t>
      </w:r>
      <w:r w:rsidRPr="006C7B84">
        <w:rPr>
          <w:b/>
          <w:sz w:val="20"/>
        </w:rPr>
        <w:t>"PoS"</w:t>
      </w:r>
      <w:r w:rsidRPr="00477DC9">
        <w:rPr>
          <w:sz w:val="20"/>
        </w:rPr>
        <w:t xml:space="preserve"> means a final sustainability declaration of the Seller for any Certificate to state the information on sustainability and compliance with the Voluntary Sustainability Certification Scheme through the supply chain according to the requirements of the Voluntary Sustainability Certification Scheme comprising the unique number of the PoS, the number of the Seller’s certification, the Buyer’s contract number, the list of feedstocks and the related greenhouse gas emissions;</w:t>
      </w:r>
    </w:p>
    <w:p w14:paraId="27492F79" w14:textId="0CF4F552" w:rsidR="00335158" w:rsidRDefault="00335158" w:rsidP="00477DC9">
      <w:pPr>
        <w:pStyle w:val="ScheduleL2"/>
        <w:rPr>
          <w:sz w:val="20"/>
        </w:rPr>
      </w:pPr>
      <w:r w:rsidRPr="00335158">
        <w:rPr>
          <w:b/>
          <w:sz w:val="20"/>
        </w:rPr>
        <w:t xml:space="preserve">"PoS </w:t>
      </w:r>
      <w:r w:rsidR="00EA480E">
        <w:rPr>
          <w:b/>
          <w:sz w:val="20"/>
        </w:rPr>
        <w:t>Database</w:t>
      </w:r>
      <w:r w:rsidR="00EA480E" w:rsidRPr="00335158">
        <w:rPr>
          <w:b/>
          <w:sz w:val="20"/>
        </w:rPr>
        <w:t xml:space="preserve"> </w:t>
      </w:r>
      <w:r w:rsidRPr="00335158">
        <w:rPr>
          <w:b/>
          <w:sz w:val="20"/>
        </w:rPr>
        <w:t>Rules</w:t>
      </w:r>
      <w:r w:rsidRPr="006C7B84">
        <w:rPr>
          <w:b/>
          <w:sz w:val="20"/>
        </w:rPr>
        <w:t>"</w:t>
      </w:r>
      <w:r>
        <w:rPr>
          <w:b/>
          <w:sz w:val="20"/>
        </w:rPr>
        <w:t xml:space="preserve"> </w:t>
      </w:r>
      <w:r>
        <w:rPr>
          <w:sz w:val="20"/>
        </w:rPr>
        <w:t xml:space="preserve">means </w:t>
      </w:r>
      <w:r w:rsidR="00566038">
        <w:rPr>
          <w:sz w:val="20"/>
        </w:rPr>
        <w:t>[</w:t>
      </w:r>
      <w:r w:rsidR="00A70F91">
        <w:rPr>
          <w:i/>
          <w:sz w:val="20"/>
        </w:rPr>
        <w:t>insert if applicable, otherwise delete</w:t>
      </w:r>
      <w:r w:rsidR="00566038">
        <w:rPr>
          <w:sz w:val="20"/>
        </w:rPr>
        <w:t>]</w:t>
      </w:r>
      <w:r w:rsidR="006760F9">
        <w:rPr>
          <w:sz w:val="20"/>
        </w:rPr>
        <w:t>;</w:t>
      </w:r>
    </w:p>
    <w:p w14:paraId="044B0262" w14:textId="2D3B91B5" w:rsidR="006760F9" w:rsidRDefault="006760F9" w:rsidP="00477DC9">
      <w:pPr>
        <w:pStyle w:val="ScheduleL2"/>
        <w:rPr>
          <w:sz w:val="20"/>
        </w:rPr>
      </w:pPr>
      <w:r w:rsidRPr="00780B0B">
        <w:rPr>
          <w:b/>
          <w:sz w:val="20"/>
        </w:rPr>
        <w:t>"</w:t>
      </w:r>
      <w:r>
        <w:rPr>
          <w:b/>
          <w:sz w:val="20"/>
        </w:rPr>
        <w:t>Standard</w:t>
      </w:r>
      <w:r w:rsidRPr="00780B0B">
        <w:rPr>
          <w:b/>
          <w:sz w:val="20"/>
        </w:rPr>
        <w:t>"</w:t>
      </w:r>
      <w:r>
        <w:rPr>
          <w:sz w:val="20"/>
        </w:rPr>
        <w:t xml:space="preserve"> has the meaning given to it in Appendix 1 (</w:t>
      </w:r>
      <w:r w:rsidRPr="006760F9">
        <w:rPr>
          <w:i/>
          <w:iCs/>
          <w:sz w:val="20"/>
        </w:rPr>
        <w:t>Defined Terms</w:t>
      </w:r>
      <w:r>
        <w:rPr>
          <w:sz w:val="20"/>
        </w:rPr>
        <w:t>) and includes the following:</w:t>
      </w:r>
    </w:p>
    <w:p w14:paraId="615185EC" w14:textId="3CE18540" w:rsidR="008164FB" w:rsidRPr="00477DC9" w:rsidRDefault="00A70F91" w:rsidP="008164FB">
      <w:pPr>
        <w:pStyle w:val="ScheduleL3"/>
      </w:pPr>
      <w:r w:rsidRPr="004320C4">
        <w:rPr>
          <w:bCs/>
          <w:sz w:val="20"/>
          <w:u w:val="single"/>
        </w:rPr>
        <w:t xml:space="preserve">If </w:t>
      </w:r>
      <w:r>
        <w:rPr>
          <w:bCs/>
          <w:sz w:val="20"/>
          <w:u w:val="single"/>
        </w:rPr>
        <w:fldChar w:fldCharType="begin"/>
      </w:r>
      <w:r>
        <w:rPr>
          <w:bCs/>
          <w:sz w:val="20"/>
          <w:u w:val="single"/>
        </w:rPr>
        <w:instrText xml:space="preserve"> REF _Ref122363328 \w \h </w:instrText>
      </w:r>
      <w:r>
        <w:rPr>
          <w:bCs/>
          <w:sz w:val="20"/>
          <w:u w:val="single"/>
        </w:rPr>
      </w:r>
      <w:r>
        <w:rPr>
          <w:bCs/>
          <w:sz w:val="20"/>
          <w:u w:val="single"/>
        </w:rPr>
        <w:fldChar w:fldCharType="separate"/>
      </w:r>
      <w:r w:rsidR="00542561">
        <w:rPr>
          <w:bCs/>
          <w:sz w:val="20"/>
          <w:u w:val="single"/>
        </w:rPr>
        <w:t>5(b)(i)</w:t>
      </w:r>
      <w:r>
        <w:rPr>
          <w:bCs/>
          <w:sz w:val="20"/>
          <w:u w:val="single"/>
        </w:rPr>
        <w:fldChar w:fldCharType="end"/>
      </w:r>
      <w:r>
        <w:rPr>
          <w:bCs/>
          <w:sz w:val="20"/>
          <w:u w:val="single"/>
        </w:rPr>
        <w:t xml:space="preserve"> </w:t>
      </w:r>
      <w:r w:rsidRPr="004320C4">
        <w:rPr>
          <w:bCs/>
          <w:sz w:val="20"/>
          <w:u w:val="single"/>
        </w:rPr>
        <w:t>"Electronic Transfer of PoS" is specified to apply</w:t>
      </w:r>
      <w:r>
        <w:rPr>
          <w:bCs/>
          <w:sz w:val="20"/>
          <w:u w:val="single"/>
        </w:rPr>
        <w:t>,</w:t>
      </w:r>
      <w:r w:rsidRPr="008164FB">
        <w:rPr>
          <w:bCs/>
          <w:sz w:val="20"/>
        </w:rPr>
        <w:t xml:space="preserve"> </w:t>
      </w:r>
      <w:r w:rsidR="008164FB" w:rsidRPr="008164FB">
        <w:rPr>
          <w:bCs/>
          <w:sz w:val="20"/>
        </w:rPr>
        <w:t xml:space="preserve">PoS </w:t>
      </w:r>
      <w:r w:rsidR="007746E7">
        <w:rPr>
          <w:bCs/>
          <w:sz w:val="20"/>
        </w:rPr>
        <w:t>Database</w:t>
      </w:r>
      <w:r w:rsidR="008164FB" w:rsidRPr="008164FB">
        <w:rPr>
          <w:bCs/>
          <w:sz w:val="20"/>
        </w:rPr>
        <w:t xml:space="preserve"> Rules</w:t>
      </w:r>
      <w:r w:rsidR="005E69C6">
        <w:rPr>
          <w:bCs/>
          <w:sz w:val="20"/>
        </w:rPr>
        <w:t>.</w:t>
      </w:r>
    </w:p>
    <w:p w14:paraId="3DBC5F14" w14:textId="284CA954" w:rsidR="002F7EDA" w:rsidRPr="00477DC9" w:rsidRDefault="002F7EDA" w:rsidP="00477DC9">
      <w:pPr>
        <w:pStyle w:val="ScheduleL1"/>
        <w:rPr>
          <w:bCs/>
          <w:sz w:val="20"/>
        </w:rPr>
      </w:pPr>
      <w:r w:rsidRPr="006C7B84">
        <w:rPr>
          <w:b/>
          <w:sz w:val="20"/>
        </w:rPr>
        <w:t>Specific Undertaking</w:t>
      </w:r>
      <w:r w:rsidR="005D120E" w:rsidRPr="006C7B84">
        <w:rPr>
          <w:b/>
          <w:sz w:val="20"/>
        </w:rPr>
        <w:t>s</w:t>
      </w:r>
      <w:r w:rsidRPr="006C7B84">
        <w:rPr>
          <w:b/>
          <w:sz w:val="20"/>
        </w:rPr>
        <w:t xml:space="preserve">: </w:t>
      </w:r>
      <w:r w:rsidRPr="00477DC9">
        <w:rPr>
          <w:bCs/>
          <w:sz w:val="20"/>
        </w:rPr>
        <w:t xml:space="preserve">The Seller undertakes that the Certificates </w:t>
      </w:r>
      <w:r w:rsidR="004E43DF" w:rsidRPr="00477DC9">
        <w:rPr>
          <w:bCs/>
          <w:sz w:val="20"/>
        </w:rPr>
        <w:t>fulfil the following conditions in accordance with EU ETS Directive, EU MRR and Applicable National Legislation</w:t>
      </w:r>
      <w:r w:rsidRPr="00477DC9">
        <w:rPr>
          <w:bCs/>
          <w:sz w:val="20"/>
        </w:rPr>
        <w:t>:</w:t>
      </w:r>
    </w:p>
    <w:p w14:paraId="176B920A" w14:textId="69CAB4EA" w:rsidR="004E43DF" w:rsidRPr="00477DC9" w:rsidRDefault="005D120E" w:rsidP="00477DC9">
      <w:pPr>
        <w:pStyle w:val="ScheduleL2"/>
        <w:rPr>
          <w:sz w:val="20"/>
        </w:rPr>
      </w:pPr>
      <w:r w:rsidRPr="00050E4C">
        <w:rPr>
          <w:b/>
          <w:bCs/>
          <w:sz w:val="20"/>
        </w:rPr>
        <w:t>Evidence of Mass Balance:</w:t>
      </w:r>
      <w:r w:rsidR="00894FB2" w:rsidRPr="00477DC9">
        <w:rPr>
          <w:sz w:val="20"/>
        </w:rPr>
        <w:t xml:space="preserve"> </w:t>
      </w:r>
      <w:r w:rsidR="0045451D" w:rsidRPr="00477DC9">
        <w:rPr>
          <w:sz w:val="20"/>
        </w:rPr>
        <w:t xml:space="preserve">The quantity of Biogas corresponding to the Contract Quantity of Certificates is determined from purchase which provide evidence of an uninterrupted supply chain from the Biogas producer to the Seller including an appropriate audit of the Mass Balance by a Voluntary Sustainability Certification Scheme in accordance with Article 30 RED II and </w:t>
      </w:r>
      <w:r w:rsidR="00541738" w:rsidRPr="00477DC9">
        <w:rPr>
          <w:sz w:val="20"/>
        </w:rPr>
        <w:t>Applicable National Legislation</w:t>
      </w:r>
      <w:r w:rsidR="0045451D" w:rsidRPr="00477DC9">
        <w:rPr>
          <w:sz w:val="20"/>
        </w:rPr>
        <w:t>;</w:t>
      </w:r>
    </w:p>
    <w:p w14:paraId="0FDE87A5" w14:textId="212509E7" w:rsidR="005D120E" w:rsidRPr="00477DC9" w:rsidRDefault="005D120E" w:rsidP="00477DC9">
      <w:pPr>
        <w:pStyle w:val="ScheduleL2"/>
        <w:rPr>
          <w:sz w:val="20"/>
        </w:rPr>
      </w:pPr>
      <w:r w:rsidRPr="00050E4C">
        <w:rPr>
          <w:b/>
          <w:bCs/>
          <w:sz w:val="20"/>
        </w:rPr>
        <w:t>Proof of Sustainability:</w:t>
      </w:r>
      <w:r w:rsidR="00894FB2" w:rsidRPr="00477DC9">
        <w:rPr>
          <w:sz w:val="20"/>
        </w:rPr>
        <w:t xml:space="preserve"> </w:t>
      </w:r>
      <w:r w:rsidR="00541738" w:rsidRPr="00477DC9">
        <w:rPr>
          <w:sz w:val="20"/>
        </w:rPr>
        <w:t>The quantity of Biogas corresponding to the Contract Quantity of Certificates complies with the sustainability and greenhouse gas saving criteria laid down in Article 29 RED II and Applicable National Legislation;</w:t>
      </w:r>
    </w:p>
    <w:p w14:paraId="4B4B1F7A" w14:textId="4031EF74" w:rsidR="005D120E" w:rsidRPr="00477DC9" w:rsidRDefault="005D120E" w:rsidP="00477DC9">
      <w:pPr>
        <w:pStyle w:val="ScheduleL2"/>
        <w:rPr>
          <w:sz w:val="20"/>
        </w:rPr>
      </w:pPr>
      <w:r w:rsidRPr="00050E4C">
        <w:rPr>
          <w:b/>
          <w:bCs/>
          <w:sz w:val="20"/>
        </w:rPr>
        <w:t>Grid Connection:</w:t>
      </w:r>
      <w:r w:rsidR="00894FB2" w:rsidRPr="00477DC9">
        <w:rPr>
          <w:sz w:val="20"/>
        </w:rPr>
        <w:t xml:space="preserve"> The producer of the Biogas is connected to the European natural gas network.</w:t>
      </w:r>
    </w:p>
    <w:p w14:paraId="56BC046A" w14:textId="60A946C2" w:rsidR="001B6598" w:rsidRPr="00477DC9" w:rsidRDefault="001B6598" w:rsidP="00477DC9">
      <w:pPr>
        <w:pStyle w:val="ScheduleL2"/>
        <w:rPr>
          <w:sz w:val="20"/>
        </w:rPr>
      </w:pPr>
      <w:r w:rsidRPr="00050E4C">
        <w:rPr>
          <w:b/>
          <w:bCs/>
          <w:sz w:val="20"/>
        </w:rPr>
        <w:t>National Quality Criteria:</w:t>
      </w:r>
      <w:r w:rsidRPr="00477DC9">
        <w:rPr>
          <w:sz w:val="20"/>
        </w:rPr>
        <w:t xml:space="preserve"> </w:t>
      </w:r>
      <w:r w:rsidR="00541738" w:rsidRPr="00477DC9">
        <w:rPr>
          <w:sz w:val="20"/>
        </w:rPr>
        <w:t>The quantity of Biogas corresponding to the Contract Quantity of Certificates fulfils the additional quality criteria set out by Applicable National Legislation, if any.</w:t>
      </w:r>
    </w:p>
    <w:p w14:paraId="7F0DAD22" w14:textId="63ADAC4B" w:rsidR="00287680" w:rsidRPr="006C7B84" w:rsidRDefault="00287680" w:rsidP="00477DC9">
      <w:pPr>
        <w:pStyle w:val="ScheduleL1"/>
        <w:rPr>
          <w:b/>
          <w:sz w:val="20"/>
        </w:rPr>
      </w:pPr>
      <w:r w:rsidRPr="006C7B84">
        <w:rPr>
          <w:b/>
          <w:sz w:val="20"/>
        </w:rPr>
        <w:t>Delivery and Acceptance of Evidence of Mass Balance:</w:t>
      </w:r>
    </w:p>
    <w:p w14:paraId="51449376" w14:textId="4D7482E0" w:rsidR="00287680" w:rsidRPr="00477DC9" w:rsidRDefault="00287680" w:rsidP="00477DC9">
      <w:pPr>
        <w:pStyle w:val="ScheduleL2"/>
        <w:rPr>
          <w:sz w:val="20"/>
        </w:rPr>
      </w:pPr>
      <w:r w:rsidRPr="00050E4C">
        <w:rPr>
          <w:b/>
          <w:bCs/>
          <w:sz w:val="20"/>
        </w:rPr>
        <w:t>Delivery and Acceptance:</w:t>
      </w:r>
      <w:r w:rsidR="00477DC9" w:rsidRPr="00477DC9">
        <w:rPr>
          <w:sz w:val="20"/>
        </w:rPr>
        <w:t xml:space="preserve"> </w:t>
      </w:r>
      <w:r w:rsidR="00050E4C" w:rsidRPr="00477DC9">
        <w:rPr>
          <w:sz w:val="20"/>
        </w:rPr>
        <w:t>No later than three (3) days after the Delivery Date</w:t>
      </w:r>
      <w:r w:rsidR="00050E4C" w:rsidRPr="00050E4C">
        <w:rPr>
          <w:bCs/>
          <w:sz w:val="20"/>
        </w:rPr>
        <w:t xml:space="preserve"> </w:t>
      </w:r>
      <w:r w:rsidR="0000674B">
        <w:rPr>
          <w:bCs/>
          <w:sz w:val="20"/>
        </w:rPr>
        <w:t xml:space="preserve">the </w:t>
      </w:r>
      <w:r w:rsidR="00050E4C">
        <w:rPr>
          <w:bCs/>
          <w:sz w:val="20"/>
        </w:rPr>
        <w:t xml:space="preserve">Seller shall deliver the Evidence of Mass Balance via e-mail to the Buyer’s e-mail address </w:t>
      </w:r>
      <w:r w:rsidR="00050E4C" w:rsidRPr="00D84578">
        <w:rPr>
          <w:bCs/>
          <w:sz w:val="20"/>
          <w:u w:val="single"/>
        </w:rPr>
        <w:t>indicated in Section B of Part I (</w:t>
      </w:r>
      <w:r w:rsidR="00050E4C" w:rsidRPr="00D84578">
        <w:rPr>
          <w:bCs/>
          <w:i/>
          <w:iCs/>
          <w:sz w:val="20"/>
          <w:u w:val="single"/>
        </w:rPr>
        <w:t>Election Sheet</w:t>
      </w:r>
      <w:r w:rsidR="00050E4C" w:rsidRPr="00D84578">
        <w:rPr>
          <w:bCs/>
          <w:sz w:val="20"/>
          <w:u w:val="single"/>
        </w:rPr>
        <w:t>)</w:t>
      </w:r>
      <w:r w:rsidR="00050E4C">
        <w:rPr>
          <w:bCs/>
          <w:sz w:val="20"/>
        </w:rPr>
        <w:t>.</w:t>
      </w:r>
    </w:p>
    <w:p w14:paraId="18B79A6E" w14:textId="0B1125C6" w:rsidR="00287680" w:rsidRPr="00477DC9" w:rsidRDefault="00287680" w:rsidP="00477DC9">
      <w:pPr>
        <w:pStyle w:val="ScheduleL2"/>
        <w:rPr>
          <w:sz w:val="20"/>
        </w:rPr>
      </w:pPr>
      <w:r w:rsidRPr="00050E4C">
        <w:rPr>
          <w:b/>
          <w:bCs/>
          <w:sz w:val="20"/>
        </w:rPr>
        <w:t>Transfer of Title and Risk:</w:t>
      </w:r>
      <w:r w:rsidR="00050E4C">
        <w:rPr>
          <w:sz w:val="20"/>
        </w:rPr>
        <w:t xml:space="preserve"> Title and risk in the </w:t>
      </w:r>
      <w:r w:rsidR="00050E4C">
        <w:rPr>
          <w:bCs/>
          <w:sz w:val="20"/>
        </w:rPr>
        <w:t xml:space="preserve">Evidence of Mass Balance </w:t>
      </w:r>
      <w:r w:rsidR="00050E4C">
        <w:rPr>
          <w:sz w:val="20"/>
        </w:rPr>
        <w:t xml:space="preserve">shall pass from Seller to Buyer with </w:t>
      </w:r>
      <w:r w:rsidR="00050E4C" w:rsidRPr="006E0C81">
        <w:rPr>
          <w:sz w:val="20"/>
        </w:rPr>
        <w:t xml:space="preserve">receipt of email (with copy of </w:t>
      </w:r>
      <w:r w:rsidR="00050E4C">
        <w:rPr>
          <w:bCs/>
          <w:sz w:val="20"/>
        </w:rPr>
        <w:t xml:space="preserve">Evidence of Mass Balance </w:t>
      </w:r>
      <w:r w:rsidR="00050E4C" w:rsidRPr="006E0C81">
        <w:rPr>
          <w:sz w:val="20"/>
        </w:rPr>
        <w:t>attached) by Buyer</w:t>
      </w:r>
      <w:r w:rsidR="00050E4C">
        <w:rPr>
          <w:sz w:val="20"/>
        </w:rPr>
        <w:t>.</w:t>
      </w:r>
    </w:p>
    <w:p w14:paraId="0CA064BC" w14:textId="4642784B" w:rsidR="005D120E" w:rsidRPr="006C7B84" w:rsidRDefault="005D120E" w:rsidP="00477DC9">
      <w:pPr>
        <w:pStyle w:val="ScheduleL1"/>
        <w:rPr>
          <w:b/>
          <w:sz w:val="20"/>
        </w:rPr>
      </w:pPr>
      <w:r w:rsidRPr="006C7B84">
        <w:rPr>
          <w:b/>
          <w:sz w:val="20"/>
        </w:rPr>
        <w:t xml:space="preserve">Delivery and Acceptance of Proof of Sustainability: </w:t>
      </w:r>
    </w:p>
    <w:p w14:paraId="70A65CD3" w14:textId="4E149FF7" w:rsidR="005D120E" w:rsidRPr="00477DC9" w:rsidRDefault="005D120E" w:rsidP="00477DC9">
      <w:pPr>
        <w:pStyle w:val="ScheduleL2"/>
        <w:rPr>
          <w:sz w:val="20"/>
        </w:rPr>
      </w:pPr>
      <w:r w:rsidRPr="006C7B84">
        <w:rPr>
          <w:b/>
          <w:sz w:val="20"/>
        </w:rPr>
        <w:t>Delivery and Acceptance:</w:t>
      </w:r>
      <w:r w:rsidR="00477DC9" w:rsidRPr="00477DC9">
        <w:rPr>
          <w:sz w:val="20"/>
        </w:rPr>
        <w:t xml:space="preserve"> No later than three (3) days after the Delivery Date and in accordance with the modalities of transfer set out in </w:t>
      </w:r>
      <w:r w:rsidR="00A6477A">
        <w:rPr>
          <w:sz w:val="20"/>
        </w:rPr>
        <w:fldChar w:fldCharType="begin"/>
      </w:r>
      <w:r w:rsidR="00A6477A">
        <w:rPr>
          <w:sz w:val="20"/>
        </w:rPr>
        <w:instrText xml:space="preserve"> REF _Ref122084680 \w \h </w:instrText>
      </w:r>
      <w:r w:rsidR="00A6477A">
        <w:rPr>
          <w:sz w:val="20"/>
        </w:rPr>
      </w:r>
      <w:r w:rsidR="00A6477A">
        <w:rPr>
          <w:sz w:val="20"/>
        </w:rPr>
        <w:fldChar w:fldCharType="separate"/>
      </w:r>
      <w:r w:rsidR="00542561">
        <w:rPr>
          <w:sz w:val="20"/>
        </w:rPr>
        <w:t>5(b)</w:t>
      </w:r>
      <w:r w:rsidR="00A6477A">
        <w:rPr>
          <w:sz w:val="20"/>
        </w:rPr>
        <w:fldChar w:fldCharType="end"/>
      </w:r>
      <w:r w:rsidR="00A6477A">
        <w:rPr>
          <w:sz w:val="20"/>
        </w:rPr>
        <w:t xml:space="preserve"> (</w:t>
      </w:r>
      <w:r w:rsidR="00335158" w:rsidRPr="00335158">
        <w:rPr>
          <w:i/>
          <w:iCs/>
          <w:sz w:val="20"/>
        </w:rPr>
        <w:t>Modalities of</w:t>
      </w:r>
      <w:r w:rsidR="00335158">
        <w:rPr>
          <w:sz w:val="20"/>
        </w:rPr>
        <w:t xml:space="preserve"> </w:t>
      </w:r>
      <w:r w:rsidR="00A6477A" w:rsidRPr="00A6477A">
        <w:rPr>
          <w:i/>
          <w:sz w:val="20"/>
        </w:rPr>
        <w:t>Transfer</w:t>
      </w:r>
      <w:r w:rsidR="00A6477A">
        <w:rPr>
          <w:sz w:val="20"/>
        </w:rPr>
        <w:t>)</w:t>
      </w:r>
      <w:r w:rsidR="00A6477A" w:rsidRPr="00A6477A">
        <w:rPr>
          <w:sz w:val="20"/>
        </w:rPr>
        <w:t xml:space="preserve">, the Seller shall </w:t>
      </w:r>
      <w:r w:rsidR="00A6477A">
        <w:rPr>
          <w:sz w:val="20"/>
        </w:rPr>
        <w:t>d</w:t>
      </w:r>
      <w:r w:rsidR="00A6477A" w:rsidRPr="00A6477A">
        <w:rPr>
          <w:sz w:val="20"/>
        </w:rPr>
        <w:t>eliver</w:t>
      </w:r>
      <w:r w:rsidR="00A6477A">
        <w:rPr>
          <w:sz w:val="20"/>
        </w:rPr>
        <w:t>,</w:t>
      </w:r>
      <w:r w:rsidR="00A6477A" w:rsidRPr="00A6477A">
        <w:rPr>
          <w:sz w:val="20"/>
        </w:rPr>
        <w:t xml:space="preserve"> or cause to be </w:t>
      </w:r>
      <w:r w:rsidR="00A6477A">
        <w:rPr>
          <w:sz w:val="20"/>
        </w:rPr>
        <w:t>d</w:t>
      </w:r>
      <w:r w:rsidR="00A6477A" w:rsidRPr="00A6477A">
        <w:rPr>
          <w:sz w:val="20"/>
        </w:rPr>
        <w:t>elivered</w:t>
      </w:r>
      <w:r w:rsidR="00A6477A">
        <w:rPr>
          <w:sz w:val="20"/>
        </w:rPr>
        <w:t xml:space="preserve">, </w:t>
      </w:r>
      <w:r w:rsidR="00A6477A" w:rsidRPr="00A6477A">
        <w:rPr>
          <w:sz w:val="20"/>
        </w:rPr>
        <w:t>and the Buyer shall accept, or cause to be accepted</w:t>
      </w:r>
      <w:r w:rsidR="00A6477A">
        <w:rPr>
          <w:sz w:val="20"/>
        </w:rPr>
        <w:t xml:space="preserve">, the Proof of Sustainability corresponding to the </w:t>
      </w:r>
      <w:r w:rsidR="00A6477A" w:rsidRPr="00A6477A">
        <w:rPr>
          <w:sz w:val="20"/>
        </w:rPr>
        <w:t>Contract Quantity of Certificates</w:t>
      </w:r>
      <w:r w:rsidR="00A6477A">
        <w:rPr>
          <w:sz w:val="20"/>
        </w:rPr>
        <w:t>.</w:t>
      </w:r>
    </w:p>
    <w:p w14:paraId="4E114C4C" w14:textId="095B54BD" w:rsidR="00335158" w:rsidRDefault="00335158" w:rsidP="00477DC9">
      <w:pPr>
        <w:pStyle w:val="ScheduleL2"/>
        <w:rPr>
          <w:sz w:val="20"/>
        </w:rPr>
      </w:pPr>
      <w:bookmarkStart w:id="5" w:name="_Ref122084680"/>
      <w:r w:rsidRPr="00335158">
        <w:rPr>
          <w:b/>
          <w:bCs/>
          <w:sz w:val="20"/>
        </w:rPr>
        <w:t>Modalities of Transfer:</w:t>
      </w:r>
      <w:r>
        <w:rPr>
          <w:sz w:val="20"/>
        </w:rPr>
        <w:t xml:space="preserve"> In accordance with the Parties’ choice, the modalities of transfer shall be as follows:</w:t>
      </w:r>
    </w:p>
    <w:p w14:paraId="784776A9" w14:textId="4465A10C" w:rsidR="005D120E" w:rsidRPr="00335158" w:rsidRDefault="00335158" w:rsidP="00335158">
      <w:pPr>
        <w:pStyle w:val="ScheduleL3"/>
        <w:rPr>
          <w:sz w:val="20"/>
        </w:rPr>
      </w:pPr>
      <w:bookmarkStart w:id="6" w:name="_Ref122363328"/>
      <w:r>
        <w:rPr>
          <w:sz w:val="20"/>
        </w:rPr>
        <w:lastRenderedPageBreak/>
        <w:t xml:space="preserve">[  ] </w:t>
      </w:r>
      <w:r w:rsidR="005D120E" w:rsidRPr="00335158">
        <w:rPr>
          <w:b/>
          <w:bCs/>
          <w:sz w:val="20"/>
        </w:rPr>
        <w:t>Electronic Transfer</w:t>
      </w:r>
      <w:r w:rsidRPr="00335158">
        <w:rPr>
          <w:b/>
          <w:bCs/>
          <w:sz w:val="20"/>
        </w:rPr>
        <w:t xml:space="preserve"> of PoS</w:t>
      </w:r>
      <w:r w:rsidR="005D120E" w:rsidRPr="00335158">
        <w:rPr>
          <w:b/>
          <w:bCs/>
          <w:sz w:val="20"/>
        </w:rPr>
        <w:t>:</w:t>
      </w:r>
      <w:bookmarkEnd w:id="5"/>
      <w:r w:rsidR="00A6477A" w:rsidRPr="00335158">
        <w:rPr>
          <w:b/>
          <w:bCs/>
          <w:sz w:val="20"/>
        </w:rPr>
        <w:t xml:space="preserve"> </w:t>
      </w:r>
      <w:r w:rsidRPr="004320C4">
        <w:rPr>
          <w:bCs/>
          <w:sz w:val="20"/>
          <w:u w:val="single"/>
        </w:rPr>
        <w:t>If "Electronic Transfer of PoS" is specified to apply</w:t>
      </w:r>
      <w:r>
        <w:rPr>
          <w:bCs/>
          <w:sz w:val="20"/>
        </w:rPr>
        <w:t xml:space="preserve">, the Seller shall deliver the PoS in </w:t>
      </w:r>
      <w:r w:rsidRPr="00335158">
        <w:rPr>
          <w:bCs/>
          <w:sz w:val="20"/>
        </w:rPr>
        <w:t xml:space="preserve">accordance with </w:t>
      </w:r>
      <w:r w:rsidR="00A6477A" w:rsidRPr="00335158">
        <w:rPr>
          <w:sz w:val="20"/>
        </w:rPr>
        <w:t xml:space="preserve">the provisions of the PoS </w:t>
      </w:r>
      <w:r w:rsidR="007746E7">
        <w:rPr>
          <w:sz w:val="20"/>
        </w:rPr>
        <w:t>Database</w:t>
      </w:r>
      <w:r w:rsidR="00A6477A" w:rsidRPr="00335158">
        <w:rPr>
          <w:sz w:val="20"/>
        </w:rPr>
        <w:t xml:space="preserve"> Rules</w:t>
      </w:r>
      <w:r w:rsidRPr="00335158">
        <w:rPr>
          <w:sz w:val="20"/>
        </w:rPr>
        <w:t>.</w:t>
      </w:r>
      <w:bookmarkEnd w:id="6"/>
    </w:p>
    <w:p w14:paraId="19FE2BBE" w14:textId="224442C9" w:rsidR="005D120E" w:rsidRPr="00335158" w:rsidRDefault="00335158" w:rsidP="00335158">
      <w:pPr>
        <w:pStyle w:val="ScheduleL3"/>
        <w:rPr>
          <w:b/>
          <w:bCs/>
          <w:sz w:val="20"/>
        </w:rPr>
      </w:pPr>
      <w:bookmarkStart w:id="7" w:name="_Ref122085317"/>
      <w:r w:rsidRPr="00335158">
        <w:rPr>
          <w:b/>
          <w:bCs/>
          <w:i/>
          <w:iCs/>
          <w:sz w:val="20"/>
        </w:rPr>
        <w:t>otherwise</w:t>
      </w:r>
      <w:r w:rsidRPr="00335158">
        <w:rPr>
          <w:b/>
          <w:bCs/>
          <w:sz w:val="20"/>
        </w:rPr>
        <w:t xml:space="preserve"> </w:t>
      </w:r>
      <w:r w:rsidR="005D120E" w:rsidRPr="00335158">
        <w:rPr>
          <w:b/>
          <w:bCs/>
          <w:sz w:val="20"/>
        </w:rPr>
        <w:t xml:space="preserve">Transfer </w:t>
      </w:r>
      <w:r w:rsidRPr="00335158">
        <w:rPr>
          <w:b/>
          <w:bCs/>
          <w:sz w:val="20"/>
        </w:rPr>
        <w:t xml:space="preserve">of PoS </w:t>
      </w:r>
      <w:r w:rsidR="005D120E" w:rsidRPr="00335158">
        <w:rPr>
          <w:b/>
          <w:bCs/>
          <w:sz w:val="20"/>
        </w:rPr>
        <w:t>by E-Mail:</w:t>
      </w:r>
      <w:bookmarkEnd w:id="7"/>
      <w:r w:rsidR="00EC3DE3">
        <w:rPr>
          <w:b/>
          <w:bCs/>
          <w:sz w:val="20"/>
        </w:rPr>
        <w:t xml:space="preserve"> </w:t>
      </w:r>
      <w:r w:rsidR="00EC3DE3">
        <w:rPr>
          <w:bCs/>
          <w:sz w:val="20"/>
          <w:u w:val="single"/>
        </w:rPr>
        <w:t>Unless</w:t>
      </w:r>
      <w:r w:rsidR="00EC3DE3" w:rsidRPr="004320C4">
        <w:rPr>
          <w:bCs/>
          <w:sz w:val="20"/>
          <w:u w:val="single"/>
        </w:rPr>
        <w:t xml:space="preserve"> "Electronic Transfer of PoS" is specified to apply</w:t>
      </w:r>
      <w:r w:rsidR="00EC3DE3">
        <w:rPr>
          <w:bCs/>
          <w:sz w:val="20"/>
        </w:rPr>
        <w:t xml:space="preserve">, Seller shall deliver the Proof of Sustainability via e-mail </w:t>
      </w:r>
      <w:r w:rsidR="009E158B">
        <w:rPr>
          <w:bCs/>
          <w:sz w:val="20"/>
        </w:rPr>
        <w:t>to the Buyer’s e-mail address indicated in Section B of Part I (</w:t>
      </w:r>
      <w:r w:rsidR="009E158B" w:rsidRPr="009E158B">
        <w:rPr>
          <w:bCs/>
          <w:i/>
          <w:iCs/>
          <w:sz w:val="20"/>
        </w:rPr>
        <w:t>Election Sheet</w:t>
      </w:r>
      <w:r w:rsidR="009E158B">
        <w:rPr>
          <w:bCs/>
          <w:sz w:val="20"/>
        </w:rPr>
        <w:t>).</w:t>
      </w:r>
    </w:p>
    <w:p w14:paraId="5E22F86E" w14:textId="0A3C85A9" w:rsidR="00AB7B4B" w:rsidRPr="00C349BD" w:rsidRDefault="00817CD7" w:rsidP="00E87E5D">
      <w:pPr>
        <w:pStyle w:val="ScheduleL2"/>
      </w:pPr>
      <w:r w:rsidRPr="005E69C6">
        <w:rPr>
          <w:b/>
          <w:bCs/>
          <w:sz w:val="20"/>
        </w:rPr>
        <w:t>Transfer of Title and Risk:</w:t>
      </w:r>
      <w:r w:rsidR="006E0C81">
        <w:rPr>
          <w:sz w:val="20"/>
        </w:rPr>
        <w:t xml:space="preserve"> Title and risk in the Proof of Sustainability shall pass </w:t>
      </w:r>
      <w:r w:rsidR="00050E4C">
        <w:rPr>
          <w:sz w:val="20"/>
        </w:rPr>
        <w:t xml:space="preserve">from </w:t>
      </w:r>
      <w:r w:rsidR="00951E16">
        <w:rPr>
          <w:sz w:val="20"/>
        </w:rPr>
        <w:t xml:space="preserve">the </w:t>
      </w:r>
      <w:r w:rsidR="00050E4C">
        <w:rPr>
          <w:sz w:val="20"/>
        </w:rPr>
        <w:t xml:space="preserve">Seller to </w:t>
      </w:r>
      <w:r w:rsidR="00951E16">
        <w:rPr>
          <w:sz w:val="20"/>
        </w:rPr>
        <w:t xml:space="preserve">the </w:t>
      </w:r>
      <w:r w:rsidR="00050E4C">
        <w:rPr>
          <w:sz w:val="20"/>
        </w:rPr>
        <w:t xml:space="preserve">Buyer </w:t>
      </w:r>
      <w:r w:rsidR="006E0C81">
        <w:rPr>
          <w:sz w:val="20"/>
        </w:rPr>
        <w:t xml:space="preserve">with respect to Electronic Transfer of PoS with the crediting of the PoS to the Buyer’s account with the PoS </w:t>
      </w:r>
      <w:r w:rsidR="007746E7">
        <w:rPr>
          <w:sz w:val="20"/>
        </w:rPr>
        <w:t>Database</w:t>
      </w:r>
      <w:r w:rsidR="006E0C81">
        <w:rPr>
          <w:sz w:val="20"/>
        </w:rPr>
        <w:t>; and</w:t>
      </w:r>
      <w:r w:rsidR="00050E4C">
        <w:rPr>
          <w:sz w:val="20"/>
        </w:rPr>
        <w:t xml:space="preserve"> with</w:t>
      </w:r>
      <w:r w:rsidR="006E0C81">
        <w:rPr>
          <w:sz w:val="20"/>
        </w:rPr>
        <w:t xml:space="preserve"> respect to Transfer of PoS by E-Mail, with </w:t>
      </w:r>
      <w:r w:rsidR="006E0C81" w:rsidRPr="006E0C81">
        <w:rPr>
          <w:sz w:val="20"/>
        </w:rPr>
        <w:t xml:space="preserve">receipt of email (with copy of </w:t>
      </w:r>
      <w:r w:rsidR="00050E4C">
        <w:rPr>
          <w:sz w:val="20"/>
        </w:rPr>
        <w:t xml:space="preserve">Proof of Sustainability </w:t>
      </w:r>
      <w:r w:rsidR="006E0C81" w:rsidRPr="006E0C81">
        <w:rPr>
          <w:sz w:val="20"/>
        </w:rPr>
        <w:t xml:space="preserve">attached) by </w:t>
      </w:r>
      <w:r w:rsidR="004D4DE8">
        <w:rPr>
          <w:sz w:val="20"/>
        </w:rPr>
        <w:t xml:space="preserve">the </w:t>
      </w:r>
      <w:r w:rsidR="006E0C81" w:rsidRPr="006E0C81">
        <w:rPr>
          <w:sz w:val="20"/>
        </w:rPr>
        <w:t>Buyer</w:t>
      </w:r>
      <w:r w:rsidR="006E0C81">
        <w:rPr>
          <w:sz w:val="20"/>
        </w:rPr>
        <w:t>.</w:t>
      </w:r>
    </w:p>
    <w:p w14:paraId="29D6D0B5" w14:textId="77777777" w:rsidR="00AB7B4B" w:rsidRPr="00C349BD" w:rsidRDefault="00AB7B4B" w:rsidP="00AB7B4B">
      <w:pPr>
        <w:pStyle w:val="MarginText"/>
        <w:jc w:val="center"/>
        <w:sectPr w:rsidR="00AB7B4B" w:rsidRPr="00C349BD">
          <w:footerReference w:type="default" r:id="rId17"/>
          <w:endnotePr>
            <w:numFmt w:val="decimal"/>
          </w:endnotePr>
          <w:pgSz w:w="11909" w:h="16834" w:code="9"/>
          <w:pgMar w:top="1440" w:right="1440" w:bottom="1440" w:left="1440" w:header="720" w:footer="573" w:gutter="0"/>
          <w:pgNumType w:start="1"/>
          <w:cols w:space="720"/>
          <w:noEndnote/>
        </w:sectPr>
      </w:pPr>
    </w:p>
    <w:p w14:paraId="46DAE4C8" w14:textId="77777777" w:rsidR="00AB7B4B" w:rsidRPr="00DF68FA" w:rsidRDefault="00AB7B4B" w:rsidP="00AB7B4B">
      <w:pPr>
        <w:pStyle w:val="MarginText"/>
        <w:jc w:val="center"/>
        <w:rPr>
          <w:b/>
          <w:sz w:val="44"/>
          <w:szCs w:val="44"/>
        </w:rPr>
      </w:pPr>
      <w:r w:rsidRPr="00DF68FA">
        <w:rPr>
          <w:b/>
          <w:sz w:val="44"/>
          <w:szCs w:val="44"/>
        </w:rPr>
        <w:lastRenderedPageBreak/>
        <w:t>EFET</w:t>
      </w:r>
    </w:p>
    <w:p w14:paraId="56879B54" w14:textId="7A2751DE" w:rsidR="00AB7B4B" w:rsidRDefault="00AB7B4B" w:rsidP="00AB7B4B">
      <w:pPr>
        <w:pStyle w:val="MarginText"/>
        <w:jc w:val="center"/>
        <w:rPr>
          <w:b/>
          <w:sz w:val="36"/>
          <w:szCs w:val="36"/>
        </w:rPr>
      </w:pPr>
      <w:r w:rsidRPr="00DF68FA">
        <w:rPr>
          <w:b/>
          <w:sz w:val="36"/>
          <w:szCs w:val="36"/>
        </w:rPr>
        <w:t>European Federation of Energy Traders</w:t>
      </w:r>
    </w:p>
    <w:p w14:paraId="54F8D32C" w14:textId="77777777" w:rsidR="00130258" w:rsidRDefault="00130258" w:rsidP="00130258">
      <w:pPr>
        <w:pStyle w:val="MarginText"/>
        <w:jc w:val="center"/>
        <w:rPr>
          <w:b/>
          <w:bCs/>
          <w:caps/>
          <w:sz w:val="24"/>
          <w:szCs w:val="24"/>
        </w:rPr>
      </w:pPr>
    </w:p>
    <w:p w14:paraId="3638DB88" w14:textId="3E4AC1C7" w:rsidR="00130258" w:rsidRPr="00067634" w:rsidRDefault="00130258" w:rsidP="00130258">
      <w:pPr>
        <w:pStyle w:val="MarginText"/>
        <w:jc w:val="center"/>
        <w:rPr>
          <w:b/>
          <w:bCs/>
          <w:caps/>
          <w:sz w:val="24"/>
          <w:szCs w:val="24"/>
        </w:rPr>
      </w:pPr>
      <w:r w:rsidRPr="00067634">
        <w:rPr>
          <w:b/>
          <w:bCs/>
          <w:caps/>
          <w:sz w:val="24"/>
          <w:szCs w:val="24"/>
        </w:rPr>
        <w:t>Biogas Certificates Standard Agreement for Single Trade</w:t>
      </w:r>
    </w:p>
    <w:p w14:paraId="2B5EDB14" w14:textId="6738A034" w:rsidR="00AB7B4B" w:rsidRPr="002940FE" w:rsidRDefault="002940FE" w:rsidP="002940FE">
      <w:pPr>
        <w:pStyle w:val="AppHead"/>
        <w:numPr>
          <w:ilvl w:val="0"/>
          <w:numId w:val="0"/>
        </w:numPr>
        <w:rPr>
          <w:lang w:val="fr-FR"/>
        </w:rPr>
      </w:pPr>
      <w:bookmarkStart w:id="8" w:name="_Ref121325657"/>
      <w:r w:rsidRPr="002940FE">
        <w:rPr>
          <w:lang w:val="fr-FR"/>
        </w:rPr>
        <w:t>AP</w:t>
      </w:r>
      <w:r>
        <w:rPr>
          <w:lang w:val="fr-FR"/>
        </w:rPr>
        <w:t>PENDIX 4</w:t>
      </w:r>
    </w:p>
    <w:bookmarkEnd w:id="8"/>
    <w:p w14:paraId="710767E1" w14:textId="5596AB30" w:rsidR="00AB7B4B" w:rsidRPr="00C349BD" w:rsidRDefault="00130258" w:rsidP="00AB7B4B">
      <w:pPr>
        <w:pStyle w:val="MarginText"/>
        <w:jc w:val="center"/>
        <w:rPr>
          <w:b/>
          <w:sz w:val="28"/>
          <w:szCs w:val="28"/>
          <w:u w:val="single"/>
          <w:lang w:val="fr-FR"/>
        </w:rPr>
      </w:pPr>
      <w:r w:rsidRPr="00C349BD">
        <w:rPr>
          <w:b/>
          <w:sz w:val="28"/>
          <w:szCs w:val="28"/>
          <w:u w:val="single"/>
          <w:lang w:val="fr-FR"/>
        </w:rPr>
        <w:t>National Fuels Quota</w:t>
      </w:r>
      <w:r w:rsidR="00AB7B4B" w:rsidRPr="00C349BD">
        <w:rPr>
          <w:b/>
          <w:sz w:val="28"/>
          <w:szCs w:val="28"/>
          <w:u w:val="single"/>
          <w:lang w:val="fr-FR"/>
        </w:rPr>
        <w:t xml:space="preserve"> Scheme</w:t>
      </w:r>
      <w:r w:rsidR="0067221B" w:rsidRPr="00C349BD">
        <w:rPr>
          <w:b/>
          <w:sz w:val="28"/>
          <w:szCs w:val="28"/>
          <w:u w:val="single"/>
          <w:lang w:val="fr-FR"/>
        </w:rPr>
        <w:t xml:space="preserve"> –</w:t>
      </w:r>
      <w:r w:rsidR="00DB788F">
        <w:rPr>
          <w:b/>
          <w:sz w:val="28"/>
          <w:szCs w:val="28"/>
          <w:u w:val="single"/>
          <w:lang w:val="fr-FR"/>
        </w:rPr>
        <w:t xml:space="preserve"> </w:t>
      </w:r>
      <w:r w:rsidR="0067221B" w:rsidRPr="00CF1696">
        <w:rPr>
          <w:b/>
          <w:sz w:val="28"/>
          <w:szCs w:val="28"/>
          <w:u w:val="single"/>
          <w:lang w:val="fr-FR"/>
        </w:rPr>
        <w:t>AUSTRIA</w:t>
      </w:r>
    </w:p>
    <w:p w14:paraId="33E40FEB" w14:textId="40365653" w:rsidR="00CF1696" w:rsidRPr="00CF1696" w:rsidRDefault="00CF1696" w:rsidP="00CF1696">
      <w:pPr>
        <w:pStyle w:val="ScheduleL1"/>
        <w:numPr>
          <w:ilvl w:val="0"/>
          <w:numId w:val="26"/>
        </w:numPr>
        <w:rPr>
          <w:bCs/>
          <w:sz w:val="20"/>
        </w:rPr>
      </w:pPr>
      <w:r w:rsidRPr="00CF1696">
        <w:rPr>
          <w:b/>
          <w:sz w:val="20"/>
        </w:rPr>
        <w:t xml:space="preserve">Subject Matter: </w:t>
      </w:r>
      <w:r w:rsidRPr="00CF1696">
        <w:rPr>
          <w:bCs/>
          <w:sz w:val="20"/>
          <w:u w:val="single"/>
        </w:rPr>
        <w:t>If selected as applicable in Section A of Part I (</w:t>
      </w:r>
      <w:r w:rsidRPr="00CF1696">
        <w:rPr>
          <w:bCs/>
          <w:i/>
          <w:iCs/>
          <w:sz w:val="20"/>
          <w:u w:val="single"/>
        </w:rPr>
        <w:t>Commercial Provisions</w:t>
      </w:r>
      <w:r w:rsidRPr="00CF1696">
        <w:rPr>
          <w:bCs/>
          <w:sz w:val="20"/>
          <w:u w:val="single"/>
        </w:rPr>
        <w:t>)</w:t>
      </w:r>
      <w:r w:rsidRPr="00CF1696">
        <w:rPr>
          <w:bCs/>
          <w:sz w:val="20"/>
        </w:rPr>
        <w:t xml:space="preserve">, this </w:t>
      </w:r>
      <w:r w:rsidR="00534BEB" w:rsidRPr="00534BEB">
        <w:rPr>
          <w:sz w:val="20"/>
        </w:rPr>
        <w:t>Appendix </w:t>
      </w:r>
      <w:r w:rsidR="002940FE">
        <w:rPr>
          <w:sz w:val="20"/>
        </w:rPr>
        <w:t>4</w:t>
      </w:r>
      <w:r w:rsidRPr="00534BEB">
        <w:rPr>
          <w:bCs/>
          <w:sz w:val="20"/>
        </w:rPr>
        <w:t xml:space="preserve"> (</w:t>
      </w:r>
      <w:r>
        <w:rPr>
          <w:bCs/>
          <w:i/>
          <w:iCs/>
          <w:sz w:val="20"/>
        </w:rPr>
        <w:t>National Fuels Quota Scheme - AUSTRIA</w:t>
      </w:r>
      <w:r w:rsidRPr="00CF1696">
        <w:rPr>
          <w:bCs/>
          <w:sz w:val="20"/>
        </w:rPr>
        <w:t>) forms integral part of the Biogas Certificates Standard Agreement.</w:t>
      </w:r>
    </w:p>
    <w:p w14:paraId="478BA2C2" w14:textId="1140C532" w:rsidR="007E5351" w:rsidRPr="007E5351" w:rsidRDefault="00CF1696" w:rsidP="007E5351">
      <w:pPr>
        <w:pStyle w:val="ScheduleL1"/>
        <w:rPr>
          <w:b/>
          <w:sz w:val="20"/>
        </w:rPr>
      </w:pPr>
      <w:r w:rsidRPr="00477DC9">
        <w:rPr>
          <w:b/>
          <w:sz w:val="20"/>
        </w:rPr>
        <w:t xml:space="preserve">Definitions: </w:t>
      </w:r>
      <w:r w:rsidRPr="00477DC9">
        <w:rPr>
          <w:bCs/>
          <w:sz w:val="20"/>
        </w:rPr>
        <w:t>The following additional definitions shall apply:</w:t>
      </w:r>
    </w:p>
    <w:p w14:paraId="6C846833" w14:textId="6C995A70" w:rsidR="005310D0" w:rsidRDefault="005310D0" w:rsidP="005310D0">
      <w:pPr>
        <w:pStyle w:val="ScheduleL2"/>
        <w:rPr>
          <w:sz w:val="20"/>
        </w:rPr>
      </w:pPr>
      <w:r w:rsidRPr="006C7B84">
        <w:rPr>
          <w:b/>
          <w:sz w:val="20"/>
        </w:rPr>
        <w:t>"Applicable National Legislation":</w:t>
      </w:r>
      <w:r w:rsidRPr="00477DC9">
        <w:rPr>
          <w:sz w:val="20"/>
        </w:rPr>
        <w:t xml:space="preserve"> </w:t>
      </w:r>
      <w:r w:rsidR="00635A10">
        <w:rPr>
          <w:sz w:val="20"/>
        </w:rPr>
        <w:t xml:space="preserve">national legislation transposing </w:t>
      </w:r>
      <w:r w:rsidR="002930E1">
        <w:rPr>
          <w:sz w:val="20"/>
        </w:rPr>
        <w:t xml:space="preserve">RED II and </w:t>
      </w:r>
      <w:r w:rsidR="002930E1" w:rsidRPr="002930E1">
        <w:rPr>
          <w:sz w:val="20"/>
        </w:rPr>
        <w:t>Directive 98/70/EC</w:t>
      </w:r>
      <w:r w:rsidR="002930E1">
        <w:rPr>
          <w:sz w:val="20"/>
        </w:rPr>
        <w:t>,</w:t>
      </w:r>
      <w:r w:rsidR="00635A10">
        <w:rPr>
          <w:sz w:val="20"/>
        </w:rPr>
        <w:t xml:space="preserve"> in particular</w:t>
      </w:r>
      <w:r w:rsidR="00A70F91">
        <w:rPr>
          <w:sz w:val="20"/>
        </w:rPr>
        <w:t>:</w:t>
      </w:r>
    </w:p>
    <w:p w14:paraId="1A1D1D0E" w14:textId="4462B6D3" w:rsidR="005310D0" w:rsidRDefault="005310D0" w:rsidP="005310D0">
      <w:pPr>
        <w:pStyle w:val="ScheduleL3"/>
        <w:rPr>
          <w:sz w:val="20"/>
          <w:lang w:val="de-AT"/>
        </w:rPr>
      </w:pPr>
      <w:r>
        <w:rPr>
          <w:sz w:val="20"/>
          <w:lang w:val="de-AT"/>
        </w:rPr>
        <w:t>Austrian Fuel Ordinance (</w:t>
      </w:r>
      <w:r w:rsidRPr="005310D0">
        <w:rPr>
          <w:i/>
          <w:iCs/>
          <w:sz w:val="20"/>
          <w:lang w:val="de-AT"/>
        </w:rPr>
        <w:t>Kraftstoffverordnung 2012 – KVO</w:t>
      </w:r>
      <w:r>
        <w:rPr>
          <w:sz w:val="20"/>
          <w:lang w:val="de-AT"/>
        </w:rPr>
        <w:t>);</w:t>
      </w:r>
    </w:p>
    <w:p w14:paraId="0E483910" w14:textId="046DA1D5" w:rsidR="005310D0" w:rsidRDefault="005310D0" w:rsidP="005310D0">
      <w:pPr>
        <w:pStyle w:val="ScheduleL3"/>
        <w:rPr>
          <w:sz w:val="20"/>
          <w:lang w:val="de-AT"/>
        </w:rPr>
      </w:pPr>
      <w:r w:rsidRPr="005310D0">
        <w:rPr>
          <w:sz w:val="20"/>
          <w:lang w:val="de-AT"/>
        </w:rPr>
        <w:t>Austrian Ren</w:t>
      </w:r>
      <w:r>
        <w:rPr>
          <w:sz w:val="20"/>
          <w:lang w:val="de-AT"/>
        </w:rPr>
        <w:t>e</w:t>
      </w:r>
      <w:r w:rsidRPr="005310D0">
        <w:rPr>
          <w:sz w:val="20"/>
          <w:lang w:val="de-AT"/>
        </w:rPr>
        <w:t>wables Expansion Act (</w:t>
      </w:r>
      <w:r w:rsidRPr="005310D0">
        <w:rPr>
          <w:i/>
          <w:iCs/>
          <w:sz w:val="20"/>
          <w:lang w:val="de-AT"/>
        </w:rPr>
        <w:t>Erneuerbaren-Ausbau-Gesetz – EAG</w:t>
      </w:r>
      <w:r>
        <w:rPr>
          <w:sz w:val="20"/>
          <w:lang w:val="de-AT"/>
        </w:rPr>
        <w:t>)</w:t>
      </w:r>
      <w:r w:rsidR="00FB563C">
        <w:rPr>
          <w:sz w:val="20"/>
          <w:lang w:val="de-AT"/>
        </w:rPr>
        <w:t>;</w:t>
      </w:r>
    </w:p>
    <w:p w14:paraId="7DA0A30B" w14:textId="71C73E9F" w:rsidR="00FB563C" w:rsidRDefault="00FB563C" w:rsidP="005310D0">
      <w:pPr>
        <w:pStyle w:val="ScheduleL3"/>
        <w:rPr>
          <w:sz w:val="20"/>
          <w:lang w:val="de-AT"/>
        </w:rPr>
      </w:pPr>
      <w:r w:rsidRPr="00FB563C">
        <w:rPr>
          <w:sz w:val="20"/>
          <w:lang w:val="de-AT"/>
        </w:rPr>
        <w:t>the Austrian Biomass Energy Sustainability Ordinance (</w:t>
      </w:r>
      <w:r w:rsidRPr="00FB563C">
        <w:rPr>
          <w:i/>
          <w:iCs/>
          <w:sz w:val="20"/>
          <w:lang w:val="de-AT"/>
        </w:rPr>
        <w:t>Biomasseenergie-Nachhaltigkeitsverordnung – BMEN-VO</w:t>
      </w:r>
      <w:r w:rsidRPr="00FB563C">
        <w:rPr>
          <w:sz w:val="20"/>
          <w:lang w:val="de-AT"/>
        </w:rPr>
        <w:t>)</w:t>
      </w:r>
      <w:r>
        <w:rPr>
          <w:sz w:val="20"/>
          <w:lang w:val="de-AT"/>
        </w:rPr>
        <w:t>;</w:t>
      </w:r>
    </w:p>
    <w:p w14:paraId="313E82BD" w14:textId="0B4A18FA" w:rsidR="00FB563C" w:rsidRDefault="00FB563C" w:rsidP="005310D0">
      <w:pPr>
        <w:pStyle w:val="ScheduleL3"/>
        <w:rPr>
          <w:sz w:val="20"/>
          <w:lang w:val="de-AT"/>
        </w:rPr>
      </w:pPr>
      <w:r w:rsidRPr="00FB563C">
        <w:rPr>
          <w:sz w:val="20"/>
          <w:lang w:val="de-AT"/>
        </w:rPr>
        <w:t>the Austrian Sustainable Forestry Biomass Ordinance (</w:t>
      </w:r>
      <w:r w:rsidRPr="00FB563C">
        <w:rPr>
          <w:i/>
          <w:iCs/>
          <w:sz w:val="20"/>
          <w:lang w:val="de-AT"/>
        </w:rPr>
        <w:t>Nachhaltige forstwirtschaftliche Biomasse-Verordnung – NFBioV</w:t>
      </w:r>
      <w:r w:rsidRPr="00FB563C">
        <w:rPr>
          <w:iCs/>
          <w:sz w:val="20"/>
          <w:lang w:val="de-AT"/>
        </w:rPr>
        <w:t>)</w:t>
      </w:r>
      <w:r>
        <w:rPr>
          <w:sz w:val="20"/>
          <w:lang w:val="de-AT"/>
        </w:rPr>
        <w:t>; and</w:t>
      </w:r>
    </w:p>
    <w:p w14:paraId="7CE60BF7" w14:textId="34ACED76" w:rsidR="00FB563C" w:rsidRPr="005310D0" w:rsidRDefault="00FB563C" w:rsidP="005310D0">
      <w:pPr>
        <w:pStyle w:val="ScheduleL3"/>
        <w:rPr>
          <w:sz w:val="20"/>
          <w:lang w:val="de-AT"/>
        </w:rPr>
      </w:pPr>
      <w:r w:rsidRPr="00FB563C">
        <w:rPr>
          <w:sz w:val="20"/>
          <w:lang w:val="de-AT"/>
        </w:rPr>
        <w:t>the Austrian Sustainable Agricultural Feedstock Ordinance (</w:t>
      </w:r>
      <w:r w:rsidRPr="00FB563C">
        <w:rPr>
          <w:i/>
          <w:sz w:val="20"/>
          <w:lang w:val="de-AT"/>
        </w:rPr>
        <w:t>Nachhaltige landwirtschaftliche Ausgangsstoffe-Verordnung – NLAV</w:t>
      </w:r>
      <w:r w:rsidRPr="00FB563C">
        <w:rPr>
          <w:sz w:val="20"/>
          <w:lang w:val="de-AT"/>
        </w:rPr>
        <w:t>)</w:t>
      </w:r>
    </w:p>
    <w:p w14:paraId="66F4A201" w14:textId="2E9E69A9" w:rsidR="005310D0" w:rsidRPr="00477DC9" w:rsidRDefault="005310D0" w:rsidP="005310D0">
      <w:pPr>
        <w:pStyle w:val="ScheduleL2"/>
        <w:numPr>
          <w:ilvl w:val="0"/>
          <w:numId w:val="0"/>
        </w:numPr>
        <w:ind w:left="1440"/>
        <w:rPr>
          <w:sz w:val="20"/>
        </w:rPr>
      </w:pPr>
      <w:r w:rsidRPr="00477DC9">
        <w:rPr>
          <w:sz w:val="20"/>
        </w:rPr>
        <w:t>as amended from time to time;</w:t>
      </w:r>
    </w:p>
    <w:p w14:paraId="081E45B5" w14:textId="52F7C469" w:rsidR="000E29C7" w:rsidRPr="00DB4FE5" w:rsidRDefault="000E29C7" w:rsidP="000E29C7">
      <w:pPr>
        <w:pStyle w:val="ScheduleL2"/>
        <w:rPr>
          <w:sz w:val="20"/>
        </w:rPr>
      </w:pPr>
      <w:r w:rsidRPr="00335158">
        <w:rPr>
          <w:b/>
          <w:sz w:val="20"/>
        </w:rPr>
        <w:t>"</w:t>
      </w:r>
      <w:r>
        <w:rPr>
          <w:b/>
          <w:sz w:val="20"/>
        </w:rPr>
        <w:t>Buyer’s</w:t>
      </w:r>
      <w:r w:rsidRPr="00335158">
        <w:rPr>
          <w:b/>
          <w:sz w:val="20"/>
        </w:rPr>
        <w:t xml:space="preserve"> PoS </w:t>
      </w:r>
      <w:r w:rsidR="007746E7">
        <w:rPr>
          <w:b/>
          <w:sz w:val="20"/>
        </w:rPr>
        <w:t>Database</w:t>
      </w:r>
      <w:r w:rsidRPr="006C7B84">
        <w:rPr>
          <w:b/>
          <w:sz w:val="20"/>
        </w:rPr>
        <w:t>"</w:t>
      </w:r>
      <w:r>
        <w:rPr>
          <w:b/>
          <w:sz w:val="20"/>
        </w:rPr>
        <w:t xml:space="preserve"> </w:t>
      </w:r>
      <w:r>
        <w:rPr>
          <w:sz w:val="20"/>
        </w:rPr>
        <w:t>[</w:t>
      </w:r>
      <w:r>
        <w:rPr>
          <w:i/>
          <w:sz w:val="20"/>
        </w:rPr>
        <w:t>insert</w:t>
      </w:r>
      <w:r w:rsidR="00CF665D">
        <w:rPr>
          <w:i/>
          <w:sz w:val="20"/>
        </w:rPr>
        <w:t xml:space="preserve"> if applicable, otherwise delete</w:t>
      </w:r>
      <w:r>
        <w:rPr>
          <w:sz w:val="20"/>
        </w:rPr>
        <w:t>];</w:t>
      </w:r>
    </w:p>
    <w:p w14:paraId="51F7FC72" w14:textId="4B6B7145" w:rsidR="005310D0" w:rsidRPr="000E2E65" w:rsidRDefault="005310D0" w:rsidP="005310D0">
      <w:pPr>
        <w:pStyle w:val="ScheduleL2"/>
        <w:rPr>
          <w:sz w:val="20"/>
        </w:rPr>
      </w:pPr>
      <w:r w:rsidRPr="006C7B84">
        <w:rPr>
          <w:b/>
          <w:sz w:val="20"/>
        </w:rPr>
        <w:t>"</w:t>
      </w:r>
      <w:r>
        <w:rPr>
          <w:b/>
          <w:sz w:val="20"/>
        </w:rPr>
        <w:t xml:space="preserve">Buyer’s Account Number with the PoS </w:t>
      </w:r>
      <w:r w:rsidR="007746E7">
        <w:rPr>
          <w:b/>
          <w:sz w:val="20"/>
        </w:rPr>
        <w:t>Database</w:t>
      </w:r>
      <w:r w:rsidRPr="006C7B84">
        <w:rPr>
          <w:b/>
          <w:sz w:val="20"/>
        </w:rPr>
        <w:t>"</w:t>
      </w:r>
      <w:r>
        <w:rPr>
          <w:b/>
          <w:sz w:val="20"/>
        </w:rPr>
        <w:t xml:space="preserve">: </w:t>
      </w:r>
      <w:r>
        <w:rPr>
          <w:sz w:val="20"/>
        </w:rPr>
        <w:t>[</w:t>
      </w:r>
      <w:r w:rsidR="00CF665D">
        <w:rPr>
          <w:i/>
          <w:sz w:val="20"/>
        </w:rPr>
        <w:t>insert if applicable, otherwise delete</w:t>
      </w:r>
      <w:r>
        <w:rPr>
          <w:sz w:val="20"/>
        </w:rPr>
        <w:t>]</w:t>
      </w:r>
      <w:r w:rsidR="00D84578">
        <w:rPr>
          <w:sz w:val="20"/>
        </w:rPr>
        <w:t>;</w:t>
      </w:r>
    </w:p>
    <w:p w14:paraId="5A36439D" w14:textId="77777777" w:rsidR="005377C1" w:rsidRPr="005377C1" w:rsidRDefault="005377C1" w:rsidP="005377C1">
      <w:pPr>
        <w:pStyle w:val="ScheduleL2"/>
        <w:rPr>
          <w:sz w:val="20"/>
        </w:rPr>
      </w:pPr>
      <w:r w:rsidRPr="006C7B84">
        <w:rPr>
          <w:b/>
          <w:sz w:val="20"/>
        </w:rPr>
        <w:t>"</w:t>
      </w:r>
      <w:r w:rsidRPr="005377C1">
        <w:rPr>
          <w:b/>
          <w:bCs/>
          <w:sz w:val="20"/>
        </w:rPr>
        <w:t>Competent Body for the Designated Purpose</w:t>
      </w:r>
      <w:r w:rsidRPr="006C7B84">
        <w:rPr>
          <w:b/>
          <w:sz w:val="20"/>
        </w:rPr>
        <w:t>"</w:t>
      </w:r>
      <w:r>
        <w:rPr>
          <w:b/>
          <w:sz w:val="20"/>
        </w:rPr>
        <w:t xml:space="preserve">: </w:t>
      </w:r>
      <w:r>
        <w:rPr>
          <w:sz w:val="20"/>
        </w:rPr>
        <w:t>[</w:t>
      </w:r>
      <w:r>
        <w:rPr>
          <w:i/>
          <w:sz w:val="20"/>
        </w:rPr>
        <w:t>insert, if traded into Austria or within Austria: Umweltbundesamt GmbH</w:t>
      </w:r>
      <w:r>
        <w:rPr>
          <w:sz w:val="20"/>
        </w:rPr>
        <w:t>]</w:t>
      </w:r>
    </w:p>
    <w:p w14:paraId="7CCE5FCA" w14:textId="74E546FF" w:rsidR="002930E1" w:rsidRPr="002930E1" w:rsidRDefault="002930E1" w:rsidP="005310D0">
      <w:pPr>
        <w:pStyle w:val="ScheduleL2"/>
        <w:rPr>
          <w:sz w:val="20"/>
        </w:rPr>
      </w:pPr>
      <w:r w:rsidRPr="006C7B84">
        <w:rPr>
          <w:b/>
          <w:sz w:val="20"/>
        </w:rPr>
        <w:t>"</w:t>
      </w:r>
      <w:r w:rsidRPr="002930E1">
        <w:rPr>
          <w:b/>
          <w:bCs/>
          <w:sz w:val="20"/>
        </w:rPr>
        <w:t>Directive 98/70/EC</w:t>
      </w:r>
      <w:r w:rsidRPr="006C7B84">
        <w:rPr>
          <w:b/>
          <w:sz w:val="20"/>
        </w:rPr>
        <w:t>"</w:t>
      </w:r>
      <w:r>
        <w:rPr>
          <w:sz w:val="20"/>
        </w:rPr>
        <w:t xml:space="preserve"> means </w:t>
      </w:r>
      <w:r w:rsidRPr="002930E1">
        <w:rPr>
          <w:sz w:val="20"/>
        </w:rPr>
        <w:t xml:space="preserve">Directive 98/70/EC </w:t>
      </w:r>
      <w:r>
        <w:rPr>
          <w:sz w:val="20"/>
        </w:rPr>
        <w:t>r</w:t>
      </w:r>
      <w:r w:rsidRPr="002930E1">
        <w:rPr>
          <w:sz w:val="20"/>
        </w:rPr>
        <w:t>elating to the quality of petrol and diesel fuels</w:t>
      </w:r>
      <w:r>
        <w:rPr>
          <w:sz w:val="20"/>
        </w:rPr>
        <w:t>, as amended from time to time;</w:t>
      </w:r>
    </w:p>
    <w:p w14:paraId="3E944B48" w14:textId="49B7F68E" w:rsidR="005310D0" w:rsidRPr="00477DC9" w:rsidRDefault="005310D0" w:rsidP="005310D0">
      <w:pPr>
        <w:pStyle w:val="ScheduleL2"/>
        <w:rPr>
          <w:sz w:val="20"/>
        </w:rPr>
      </w:pPr>
      <w:r w:rsidRPr="006C7B84">
        <w:rPr>
          <w:b/>
          <w:sz w:val="20"/>
        </w:rPr>
        <w:t>"Mass Balance"</w:t>
      </w:r>
      <w:r w:rsidRPr="00477DC9">
        <w:rPr>
          <w:sz w:val="20"/>
        </w:rPr>
        <w:t xml:space="preserve"> means </w:t>
      </w:r>
      <w:r w:rsidR="00E85D90">
        <w:rPr>
          <w:sz w:val="20"/>
        </w:rPr>
        <w:t>the r</w:t>
      </w:r>
      <w:r w:rsidR="00E85D90" w:rsidRPr="00D84578">
        <w:rPr>
          <w:sz w:val="20"/>
        </w:rPr>
        <w:t xml:space="preserve">elationship between input and output of </w:t>
      </w:r>
      <w:r w:rsidR="00E85D90">
        <w:rPr>
          <w:sz w:val="20"/>
        </w:rPr>
        <w:t>Biogas</w:t>
      </w:r>
      <w:r w:rsidR="00E85D90" w:rsidRPr="00D84578">
        <w:rPr>
          <w:sz w:val="20"/>
        </w:rPr>
        <w:t xml:space="preserve"> within </w:t>
      </w:r>
      <w:r w:rsidR="00E85D90">
        <w:rPr>
          <w:sz w:val="20"/>
        </w:rPr>
        <w:t xml:space="preserve">the European natural gas network </w:t>
      </w:r>
      <w:r w:rsidR="00E85D90" w:rsidRPr="00D84578">
        <w:rPr>
          <w:sz w:val="20"/>
        </w:rPr>
        <w:t xml:space="preserve">in which the output from the </w:t>
      </w:r>
      <w:r w:rsidR="00E85D90">
        <w:rPr>
          <w:sz w:val="20"/>
        </w:rPr>
        <w:t>grid</w:t>
      </w:r>
      <w:r w:rsidR="00E85D90" w:rsidRPr="00D84578">
        <w:rPr>
          <w:sz w:val="20"/>
        </w:rPr>
        <w:t xml:space="preserve"> cannot exceed the input into the </w:t>
      </w:r>
      <w:r w:rsidR="00E85D90">
        <w:rPr>
          <w:sz w:val="20"/>
        </w:rPr>
        <w:t>grid;</w:t>
      </w:r>
    </w:p>
    <w:p w14:paraId="698D1961" w14:textId="6B6F56D9" w:rsidR="006B2F13" w:rsidRPr="006B2F13" w:rsidRDefault="006B2F13" w:rsidP="005E69C6">
      <w:pPr>
        <w:pStyle w:val="ScheduleL2"/>
        <w:rPr>
          <w:sz w:val="20"/>
        </w:rPr>
      </w:pPr>
      <w:r w:rsidRPr="00780B0B">
        <w:rPr>
          <w:b/>
          <w:sz w:val="20"/>
        </w:rPr>
        <w:t>"</w:t>
      </w:r>
      <w:r>
        <w:rPr>
          <w:b/>
          <w:sz w:val="20"/>
        </w:rPr>
        <w:t>Member State</w:t>
      </w:r>
      <w:r w:rsidRPr="00780B0B">
        <w:rPr>
          <w:b/>
          <w:sz w:val="20"/>
        </w:rPr>
        <w:t>"</w:t>
      </w:r>
      <w:r>
        <w:rPr>
          <w:sz w:val="20"/>
        </w:rPr>
        <w:t xml:space="preserve"> means member state of the European Union;</w:t>
      </w:r>
    </w:p>
    <w:p w14:paraId="785B2982" w14:textId="5433FD66" w:rsidR="005E69C6" w:rsidRDefault="005E69C6" w:rsidP="005E69C6">
      <w:pPr>
        <w:pStyle w:val="ScheduleL2"/>
        <w:rPr>
          <w:sz w:val="20"/>
        </w:rPr>
      </w:pPr>
      <w:r w:rsidRPr="00780B0B">
        <w:rPr>
          <w:b/>
          <w:sz w:val="20"/>
        </w:rPr>
        <w:t>"</w:t>
      </w:r>
      <w:r>
        <w:rPr>
          <w:b/>
          <w:sz w:val="20"/>
        </w:rPr>
        <w:t>Law</w:t>
      </w:r>
      <w:r w:rsidRPr="00780B0B">
        <w:rPr>
          <w:b/>
          <w:sz w:val="20"/>
        </w:rPr>
        <w:t>"</w:t>
      </w:r>
      <w:r>
        <w:rPr>
          <w:sz w:val="20"/>
        </w:rPr>
        <w:t xml:space="preserve"> has the meaning given to it in Appendix 1 (</w:t>
      </w:r>
      <w:r w:rsidRPr="006760F9">
        <w:rPr>
          <w:i/>
          <w:iCs/>
          <w:sz w:val="20"/>
        </w:rPr>
        <w:t>Defined Terms</w:t>
      </w:r>
      <w:r>
        <w:rPr>
          <w:sz w:val="20"/>
        </w:rPr>
        <w:t>) and includes the following:</w:t>
      </w:r>
    </w:p>
    <w:p w14:paraId="591BECB0" w14:textId="77777777" w:rsidR="002930E1" w:rsidRPr="002930E1" w:rsidRDefault="002930E1" w:rsidP="005E69C6">
      <w:pPr>
        <w:pStyle w:val="ScheduleL3"/>
        <w:rPr>
          <w:bCs/>
        </w:rPr>
      </w:pPr>
      <w:r w:rsidRPr="002930E1">
        <w:rPr>
          <w:sz w:val="20"/>
        </w:rPr>
        <w:t>Directive 98/70/EC</w:t>
      </w:r>
      <w:r>
        <w:rPr>
          <w:bCs/>
          <w:sz w:val="20"/>
        </w:rPr>
        <w:t>;</w:t>
      </w:r>
    </w:p>
    <w:p w14:paraId="2159428F" w14:textId="5FB5B635" w:rsidR="005E69C6" w:rsidRPr="005E69C6" w:rsidRDefault="005E69C6" w:rsidP="005E69C6">
      <w:pPr>
        <w:pStyle w:val="ScheduleL3"/>
        <w:rPr>
          <w:bCs/>
        </w:rPr>
      </w:pPr>
      <w:r w:rsidRPr="005E69C6">
        <w:rPr>
          <w:bCs/>
          <w:sz w:val="20"/>
        </w:rPr>
        <w:lastRenderedPageBreak/>
        <w:t>Applicable National Legislation;</w:t>
      </w:r>
    </w:p>
    <w:p w14:paraId="5A18D6C8" w14:textId="2705B764" w:rsidR="005310D0" w:rsidRDefault="005310D0" w:rsidP="005310D0">
      <w:pPr>
        <w:pStyle w:val="ScheduleL2"/>
        <w:rPr>
          <w:sz w:val="20"/>
        </w:rPr>
      </w:pPr>
      <w:r w:rsidRPr="006C7B84">
        <w:rPr>
          <w:b/>
          <w:sz w:val="20"/>
        </w:rPr>
        <w:t>"Proof of Sustainability"</w:t>
      </w:r>
      <w:r w:rsidRPr="00477DC9">
        <w:rPr>
          <w:sz w:val="20"/>
        </w:rPr>
        <w:t xml:space="preserve"> or </w:t>
      </w:r>
      <w:r w:rsidRPr="006C7B84">
        <w:rPr>
          <w:b/>
          <w:sz w:val="20"/>
        </w:rPr>
        <w:t>"PoS"</w:t>
      </w:r>
      <w:r w:rsidRPr="00477DC9">
        <w:rPr>
          <w:sz w:val="20"/>
        </w:rPr>
        <w:t xml:space="preserve"> means a final sustainability declaration of the Seller for any Certificate to state the information on sustainability and compliance with the Voluntary Sustainability Certification Scheme through the supply chain according to the requirements of the Voluntary Sustainability Certification Scheme comprising the unique number of the PoS, the number of the Seller’s certification, the Buyer’s contract number, the list of feedstocks and the related greenhouse gas emissions;</w:t>
      </w:r>
    </w:p>
    <w:p w14:paraId="7CD9C46F" w14:textId="7F73D444" w:rsidR="007E5351" w:rsidRDefault="005310D0" w:rsidP="00DB4FE5">
      <w:pPr>
        <w:pStyle w:val="ScheduleL2"/>
        <w:rPr>
          <w:sz w:val="20"/>
        </w:rPr>
      </w:pPr>
      <w:r w:rsidRPr="00335158">
        <w:rPr>
          <w:b/>
          <w:sz w:val="20"/>
        </w:rPr>
        <w:t xml:space="preserve">"PoS </w:t>
      </w:r>
      <w:r w:rsidR="007746E7">
        <w:rPr>
          <w:b/>
          <w:sz w:val="20"/>
        </w:rPr>
        <w:t>Database</w:t>
      </w:r>
      <w:r w:rsidRPr="00335158">
        <w:rPr>
          <w:b/>
          <w:sz w:val="20"/>
        </w:rPr>
        <w:t xml:space="preserve"> Rules</w:t>
      </w:r>
      <w:r w:rsidRPr="006C7B84">
        <w:rPr>
          <w:b/>
          <w:sz w:val="20"/>
        </w:rPr>
        <w:t>"</w:t>
      </w:r>
      <w:r>
        <w:rPr>
          <w:b/>
          <w:sz w:val="20"/>
        </w:rPr>
        <w:t xml:space="preserve"> </w:t>
      </w:r>
      <w:r>
        <w:rPr>
          <w:sz w:val="20"/>
        </w:rPr>
        <w:t xml:space="preserve">means </w:t>
      </w:r>
      <w:r w:rsidR="00635A10">
        <w:rPr>
          <w:sz w:val="20"/>
        </w:rPr>
        <w:t>[</w:t>
      </w:r>
      <w:r w:rsidR="00A70F91">
        <w:rPr>
          <w:i/>
          <w:sz w:val="20"/>
        </w:rPr>
        <w:t>insert if applicable, otherwise delete</w:t>
      </w:r>
      <w:r w:rsidR="00635A10">
        <w:rPr>
          <w:sz w:val="20"/>
        </w:rPr>
        <w:t>]</w:t>
      </w:r>
      <w:r w:rsidR="005E69C6">
        <w:rPr>
          <w:sz w:val="20"/>
        </w:rPr>
        <w:t>;</w:t>
      </w:r>
    </w:p>
    <w:p w14:paraId="6DC6DEEE" w14:textId="77777777" w:rsidR="005E69C6" w:rsidRDefault="005E69C6" w:rsidP="005E69C6">
      <w:pPr>
        <w:pStyle w:val="ScheduleL2"/>
        <w:rPr>
          <w:sz w:val="20"/>
        </w:rPr>
      </w:pPr>
      <w:r w:rsidRPr="00780B0B">
        <w:rPr>
          <w:b/>
          <w:sz w:val="20"/>
        </w:rPr>
        <w:t>"</w:t>
      </w:r>
      <w:r>
        <w:rPr>
          <w:b/>
          <w:sz w:val="20"/>
        </w:rPr>
        <w:t>Standard</w:t>
      </w:r>
      <w:r w:rsidRPr="00780B0B">
        <w:rPr>
          <w:b/>
          <w:sz w:val="20"/>
        </w:rPr>
        <w:t>"</w:t>
      </w:r>
      <w:r>
        <w:rPr>
          <w:sz w:val="20"/>
        </w:rPr>
        <w:t xml:space="preserve"> has the meaning given to it in Appendix 1 (</w:t>
      </w:r>
      <w:r w:rsidRPr="006760F9">
        <w:rPr>
          <w:i/>
          <w:iCs/>
          <w:sz w:val="20"/>
        </w:rPr>
        <w:t>Defined Terms</w:t>
      </w:r>
      <w:r>
        <w:rPr>
          <w:sz w:val="20"/>
        </w:rPr>
        <w:t>) and includes the following:</w:t>
      </w:r>
    </w:p>
    <w:p w14:paraId="7995400B" w14:textId="6F53DDC7" w:rsidR="005E69C6" w:rsidRPr="005E69C6" w:rsidRDefault="00A70F91" w:rsidP="005E69C6">
      <w:pPr>
        <w:pStyle w:val="ScheduleL3"/>
      </w:pPr>
      <w:r w:rsidRPr="004320C4">
        <w:rPr>
          <w:bCs/>
          <w:sz w:val="20"/>
          <w:u w:val="single"/>
        </w:rPr>
        <w:t xml:space="preserve">If </w:t>
      </w:r>
      <w:r>
        <w:rPr>
          <w:bCs/>
          <w:sz w:val="20"/>
          <w:u w:val="single"/>
        </w:rPr>
        <w:fldChar w:fldCharType="begin"/>
      </w:r>
      <w:r>
        <w:rPr>
          <w:bCs/>
          <w:sz w:val="20"/>
          <w:u w:val="single"/>
        </w:rPr>
        <w:instrText xml:space="preserve"> REF _Ref122363194 \w \h </w:instrText>
      </w:r>
      <w:r>
        <w:rPr>
          <w:bCs/>
          <w:sz w:val="20"/>
          <w:u w:val="single"/>
        </w:rPr>
      </w:r>
      <w:r>
        <w:rPr>
          <w:bCs/>
          <w:sz w:val="20"/>
          <w:u w:val="single"/>
        </w:rPr>
        <w:fldChar w:fldCharType="separate"/>
      </w:r>
      <w:r w:rsidR="00542561">
        <w:rPr>
          <w:bCs/>
          <w:sz w:val="20"/>
          <w:u w:val="single"/>
        </w:rPr>
        <w:t>7(b)(i)</w:t>
      </w:r>
      <w:r>
        <w:rPr>
          <w:bCs/>
          <w:sz w:val="20"/>
          <w:u w:val="single"/>
        </w:rPr>
        <w:fldChar w:fldCharType="end"/>
      </w:r>
      <w:r>
        <w:rPr>
          <w:bCs/>
          <w:sz w:val="20"/>
          <w:u w:val="single"/>
        </w:rPr>
        <w:t xml:space="preserve"> </w:t>
      </w:r>
      <w:r w:rsidRPr="004320C4">
        <w:rPr>
          <w:bCs/>
          <w:sz w:val="20"/>
          <w:u w:val="single"/>
        </w:rPr>
        <w:t>"Electronic Transfer of PoS" is specified to apply</w:t>
      </w:r>
      <w:r>
        <w:rPr>
          <w:bCs/>
          <w:sz w:val="20"/>
          <w:u w:val="single"/>
        </w:rPr>
        <w:t>,</w:t>
      </w:r>
      <w:r w:rsidRPr="008164FB">
        <w:rPr>
          <w:bCs/>
          <w:sz w:val="20"/>
        </w:rPr>
        <w:t xml:space="preserve"> </w:t>
      </w:r>
      <w:r w:rsidR="005A6E53">
        <w:rPr>
          <w:bCs/>
          <w:sz w:val="20"/>
        </w:rPr>
        <w:t xml:space="preserve">the </w:t>
      </w:r>
      <w:r w:rsidR="005E69C6" w:rsidRPr="008164FB">
        <w:rPr>
          <w:bCs/>
          <w:sz w:val="20"/>
        </w:rPr>
        <w:t xml:space="preserve">PoS </w:t>
      </w:r>
      <w:r w:rsidR="007746E7">
        <w:rPr>
          <w:bCs/>
          <w:sz w:val="20"/>
        </w:rPr>
        <w:t>Database</w:t>
      </w:r>
      <w:r w:rsidR="005E69C6" w:rsidRPr="008164FB">
        <w:rPr>
          <w:bCs/>
          <w:sz w:val="20"/>
        </w:rPr>
        <w:t xml:space="preserve"> Rules</w:t>
      </w:r>
      <w:r w:rsidR="005E69C6">
        <w:rPr>
          <w:bCs/>
          <w:sz w:val="20"/>
        </w:rPr>
        <w:t>.</w:t>
      </w:r>
    </w:p>
    <w:p w14:paraId="0474CEB6" w14:textId="6ECCCC7A" w:rsidR="00687EF1" w:rsidRPr="005310D0" w:rsidRDefault="00687EF1" w:rsidP="007E5351">
      <w:pPr>
        <w:pStyle w:val="ScheduleL1"/>
        <w:rPr>
          <w:b/>
          <w:sz w:val="20"/>
        </w:rPr>
      </w:pPr>
      <w:r w:rsidRPr="006C7B84">
        <w:rPr>
          <w:b/>
          <w:sz w:val="20"/>
        </w:rPr>
        <w:t>Specific Undertakings:</w:t>
      </w:r>
      <w:r w:rsidR="005377C1">
        <w:rPr>
          <w:b/>
          <w:sz w:val="20"/>
        </w:rPr>
        <w:t xml:space="preserve"> </w:t>
      </w:r>
      <w:r w:rsidRPr="00477DC9">
        <w:rPr>
          <w:bCs/>
          <w:sz w:val="20"/>
        </w:rPr>
        <w:t>The Seller undertakes that the Certificates fulfil the following conditions in accordance with</w:t>
      </w:r>
      <w:r w:rsidR="00DB4FE5">
        <w:rPr>
          <w:bCs/>
          <w:sz w:val="20"/>
        </w:rPr>
        <w:t xml:space="preserve"> RED II and Applicable National Legislation:</w:t>
      </w:r>
    </w:p>
    <w:p w14:paraId="602CB3D5" w14:textId="1D8C5048" w:rsidR="007C626C" w:rsidRPr="005913B7" w:rsidRDefault="00911F4E" w:rsidP="000C62BB">
      <w:pPr>
        <w:pStyle w:val="ScheduleL2"/>
        <w:rPr>
          <w:sz w:val="20"/>
        </w:rPr>
      </w:pPr>
      <w:r w:rsidRPr="005913B7">
        <w:rPr>
          <w:b/>
          <w:bCs/>
          <w:sz w:val="20"/>
        </w:rPr>
        <w:t>Evidence of Mass Balance:</w:t>
      </w:r>
      <w:r w:rsidR="007C626C" w:rsidRPr="000C62BB">
        <w:rPr>
          <w:b/>
          <w:bCs/>
          <w:sz w:val="20"/>
        </w:rPr>
        <w:t xml:space="preserve"> </w:t>
      </w:r>
      <w:r w:rsidR="005913B7" w:rsidRPr="000C62BB">
        <w:rPr>
          <w:b/>
          <w:bCs/>
          <w:sz w:val="20"/>
        </w:rPr>
        <w:t xml:space="preserve"> </w:t>
      </w:r>
      <w:r w:rsidR="007C626C" w:rsidRPr="005913B7">
        <w:rPr>
          <w:sz w:val="20"/>
        </w:rPr>
        <w:t>The quantity of Biogas corresponding to the Contract Quantity of Certificates is determined from purchase which provide evidence of an uninterrupted supply chain from the Biogas producer to the Seller including an appropriate audit of the Mass Balance by a Voluntary Sustainability Certification Scheme in accordance with Article 30 RED II and Applicable National Legislation</w:t>
      </w:r>
      <w:r w:rsidR="00B84AAB" w:rsidRPr="005913B7">
        <w:rPr>
          <w:sz w:val="20"/>
        </w:rPr>
        <w:t>.</w:t>
      </w:r>
    </w:p>
    <w:p w14:paraId="7117BDBF" w14:textId="35421D5B" w:rsidR="00B84AAB" w:rsidRPr="001B3478" w:rsidRDefault="00911F4E" w:rsidP="00DF2960">
      <w:pPr>
        <w:pStyle w:val="ScheduleL2"/>
        <w:rPr>
          <w:sz w:val="20"/>
        </w:rPr>
      </w:pPr>
      <w:r w:rsidRPr="001B3478">
        <w:rPr>
          <w:b/>
          <w:bCs/>
          <w:sz w:val="20"/>
        </w:rPr>
        <w:t>Proof of Sustainability:</w:t>
      </w:r>
      <w:r w:rsidR="001B3478">
        <w:rPr>
          <w:b/>
          <w:bCs/>
          <w:sz w:val="20"/>
        </w:rPr>
        <w:t xml:space="preserve"> </w:t>
      </w:r>
      <w:r w:rsidR="00B84AAB" w:rsidRPr="001B3478">
        <w:rPr>
          <w:sz w:val="20"/>
        </w:rPr>
        <w:t>The quantity of Biogas corresponding to the Contract Quantity of Certificates complies with the sustainability and greenhouse gas saving criteria laid down in Article 29 RED II and Applicable National Legislation</w:t>
      </w:r>
      <w:r w:rsidR="00491A87" w:rsidRPr="001B3478">
        <w:rPr>
          <w:sz w:val="20"/>
        </w:rPr>
        <w:t>.</w:t>
      </w:r>
    </w:p>
    <w:p w14:paraId="64C72FBB" w14:textId="7B27A35F" w:rsidR="005A6E53" w:rsidRPr="002E16E5" w:rsidRDefault="005A6E53" w:rsidP="007E5351">
      <w:pPr>
        <w:pStyle w:val="ScheduleL1"/>
        <w:rPr>
          <w:b/>
          <w:sz w:val="20"/>
        </w:rPr>
      </w:pPr>
      <w:r>
        <w:rPr>
          <w:b/>
          <w:sz w:val="20"/>
        </w:rPr>
        <w:t>Additional Country of Origin Requirements:</w:t>
      </w:r>
      <w:r w:rsidR="005377C1">
        <w:rPr>
          <w:b/>
          <w:sz w:val="20"/>
        </w:rPr>
        <w:t xml:space="preserve"> </w:t>
      </w:r>
      <w:r w:rsidR="005377C1">
        <w:rPr>
          <w:sz w:val="20"/>
        </w:rPr>
        <w:t xml:space="preserve">If Austria is the country of origin, the Seller undertakes </w:t>
      </w:r>
      <w:r w:rsidR="005377C1" w:rsidRPr="002E16E5">
        <w:rPr>
          <w:sz w:val="20"/>
        </w:rPr>
        <w:t>that the following additional requirements in accordance with the Austrian Fuel Ordinance are met:</w:t>
      </w:r>
    </w:p>
    <w:p w14:paraId="102B371F" w14:textId="77777777" w:rsidR="002E16E5" w:rsidRPr="002E16E5" w:rsidRDefault="002E16E5" w:rsidP="002E16E5">
      <w:pPr>
        <w:pStyle w:val="ScheduleL2"/>
        <w:rPr>
          <w:sz w:val="20"/>
        </w:rPr>
      </w:pPr>
      <w:r w:rsidRPr="002E16E5">
        <w:rPr>
          <w:sz w:val="20"/>
        </w:rPr>
        <w:t>The Evidence of Mass Balance shall in particular contain the following information in accordance with section 10 Austrian Fuel Ordinance:</w:t>
      </w:r>
    </w:p>
    <w:p w14:paraId="64EE65B8" w14:textId="77777777" w:rsidR="002E16E5" w:rsidRPr="002E16E5" w:rsidRDefault="002E16E5" w:rsidP="002E16E5">
      <w:pPr>
        <w:pStyle w:val="ScheduleL3"/>
        <w:rPr>
          <w:sz w:val="20"/>
        </w:rPr>
      </w:pPr>
      <w:r w:rsidRPr="002E16E5">
        <w:rPr>
          <w:sz w:val="20"/>
        </w:rPr>
        <w:t>clear information on the allocation of purchased feedstocks or traded and sold biofuels to sellers and buyers, respectively, allowing for a clear identification of buyers and sellers;</w:t>
      </w:r>
    </w:p>
    <w:p w14:paraId="28C12C4C" w14:textId="77777777" w:rsidR="002E16E5" w:rsidRPr="002E16E5" w:rsidRDefault="002E16E5" w:rsidP="002E16E5">
      <w:pPr>
        <w:pStyle w:val="ScheduleL3"/>
        <w:rPr>
          <w:sz w:val="20"/>
        </w:rPr>
      </w:pPr>
      <w:r w:rsidRPr="002E16E5">
        <w:rPr>
          <w:sz w:val="20"/>
        </w:rPr>
        <w:t>dates of purchase and sale of biofuels or feedstocks for biofuel production;</w:t>
      </w:r>
    </w:p>
    <w:p w14:paraId="15CD1B08" w14:textId="77777777" w:rsidR="002E16E5" w:rsidRPr="002E16E5" w:rsidRDefault="002E16E5" w:rsidP="002E16E5">
      <w:pPr>
        <w:pStyle w:val="ScheduleL3"/>
        <w:rPr>
          <w:sz w:val="20"/>
        </w:rPr>
      </w:pPr>
      <w:r w:rsidRPr="002E16E5">
        <w:rPr>
          <w:sz w:val="20"/>
        </w:rPr>
        <w:t>data on the type and quantity, the year of harvest and the countries of cultivation of the feedstocks;</w:t>
      </w:r>
    </w:p>
    <w:p w14:paraId="7892B6F4" w14:textId="77777777" w:rsidR="002E16E5" w:rsidRPr="002E16E5" w:rsidRDefault="002E16E5" w:rsidP="002E16E5">
      <w:pPr>
        <w:pStyle w:val="ScheduleL3"/>
        <w:rPr>
          <w:sz w:val="20"/>
        </w:rPr>
      </w:pPr>
      <w:r w:rsidRPr="002E16E5">
        <w:rPr>
          <w:sz w:val="20"/>
        </w:rPr>
        <w:t>information on the sustainability of the biomass used in accordance with section 12 Austrian Fuel Ordinance;</w:t>
      </w:r>
    </w:p>
    <w:p w14:paraId="2F819F8F" w14:textId="77777777" w:rsidR="002E16E5" w:rsidRPr="002E16E5" w:rsidRDefault="002E16E5" w:rsidP="002E16E5">
      <w:pPr>
        <w:pStyle w:val="ScheduleL3"/>
        <w:rPr>
          <w:sz w:val="20"/>
        </w:rPr>
      </w:pPr>
      <w:r w:rsidRPr="002E16E5">
        <w:rPr>
          <w:sz w:val="20"/>
        </w:rPr>
        <w:t>a value for the greenhouse gas reduction potential of the biofuel produced, traded or used in accordance with the provisions of section 12(3) Austrian Fuel Ordinance;</w:t>
      </w:r>
    </w:p>
    <w:p w14:paraId="1AD3009A" w14:textId="4F37F271" w:rsidR="002E16E5" w:rsidRPr="002E16E5" w:rsidRDefault="002E16E5" w:rsidP="002E16E5">
      <w:pPr>
        <w:pStyle w:val="ScheduleL3"/>
        <w:rPr>
          <w:sz w:val="20"/>
        </w:rPr>
      </w:pPr>
      <w:r w:rsidRPr="002E16E5">
        <w:rPr>
          <w:sz w:val="20"/>
        </w:rPr>
        <w:t>in the case of the use of default values, a clear description of the feedstock used</w:t>
      </w:r>
      <w:r w:rsidR="003741C4">
        <w:rPr>
          <w:sz w:val="20"/>
        </w:rPr>
        <w:t>;</w:t>
      </w:r>
    </w:p>
    <w:p w14:paraId="407FB516" w14:textId="7F9ABF90" w:rsidR="002E16E5" w:rsidRPr="001B3478" w:rsidRDefault="002E16E5" w:rsidP="002E16E5">
      <w:pPr>
        <w:pStyle w:val="ScheduleL2"/>
        <w:rPr>
          <w:sz w:val="20"/>
        </w:rPr>
      </w:pPr>
      <w:r w:rsidRPr="001B3478">
        <w:rPr>
          <w:sz w:val="20"/>
        </w:rPr>
        <w:t>The quality of feedstock complies with the sustainability criteria set out in section 12 in conjunction with Annex XI Austrian Fuel Ordinance</w:t>
      </w:r>
      <w:r w:rsidR="003741C4">
        <w:rPr>
          <w:sz w:val="20"/>
        </w:rPr>
        <w:t>, the Austrian Sustainable Agricultural Feedstock Ordinance and the legal requirements on forestry feedstock in accordance with section 12 Austrian Fuel Ordinance;</w:t>
      </w:r>
    </w:p>
    <w:p w14:paraId="3AB36FD2" w14:textId="304C897A" w:rsidR="005377C1" w:rsidRDefault="00EF66C4" w:rsidP="005377C1">
      <w:pPr>
        <w:pStyle w:val="ScheduleL2"/>
        <w:rPr>
          <w:sz w:val="20"/>
        </w:rPr>
      </w:pPr>
      <w:r>
        <w:rPr>
          <w:sz w:val="20"/>
        </w:rPr>
        <w:t xml:space="preserve">The Biogas has </w:t>
      </w:r>
      <w:r w:rsidR="00EC6DE5" w:rsidRPr="00EC6DE5">
        <w:rPr>
          <w:sz w:val="20"/>
        </w:rPr>
        <w:t>a reduction ratio of life cycle greenhouse gas emissions</w:t>
      </w:r>
      <w:r>
        <w:rPr>
          <w:sz w:val="20"/>
        </w:rPr>
        <w:t xml:space="preserve"> compliant with section 12(3) Austrian Fuel Ordinance (for installations that went into operation after 5 October 2015, </w:t>
      </w:r>
      <w:r>
        <w:rPr>
          <w:sz w:val="20"/>
        </w:rPr>
        <w:lastRenderedPageBreak/>
        <w:t>at least 60%, for installations operational on or before 5 October 2015 at least 50% and for installations operational on or after 1 January 2021 at least 65%, each compared to the reference value set out in section 19(4) Austrian Fuel Ordinance);</w:t>
      </w:r>
    </w:p>
    <w:p w14:paraId="0342DEEC" w14:textId="2D89995F" w:rsidR="00EF66C4" w:rsidRDefault="006B2F13" w:rsidP="005377C1">
      <w:pPr>
        <w:pStyle w:val="ScheduleL2"/>
        <w:rPr>
          <w:sz w:val="20"/>
        </w:rPr>
      </w:pPr>
      <w:r>
        <w:rPr>
          <w:sz w:val="20"/>
        </w:rPr>
        <w:t xml:space="preserve">The Biogas </w:t>
      </w:r>
      <w:r w:rsidR="00BA7CD1">
        <w:rPr>
          <w:sz w:val="20"/>
        </w:rPr>
        <w:t xml:space="preserve">or the underlying Proof of Sustainability </w:t>
      </w:r>
      <w:r>
        <w:rPr>
          <w:sz w:val="20"/>
        </w:rPr>
        <w:t xml:space="preserve">has not been counted </w:t>
      </w:r>
      <w:r w:rsidRPr="006B2F13">
        <w:rPr>
          <w:sz w:val="20"/>
        </w:rPr>
        <w:t xml:space="preserve">towards the obligation pursuant to Article 25(1) </w:t>
      </w:r>
      <w:r>
        <w:rPr>
          <w:sz w:val="20"/>
        </w:rPr>
        <w:t xml:space="preserve">RED II </w:t>
      </w:r>
      <w:r w:rsidRPr="006B2F13">
        <w:rPr>
          <w:sz w:val="20"/>
        </w:rPr>
        <w:t xml:space="preserve">in another </w:t>
      </w:r>
      <w:r>
        <w:rPr>
          <w:sz w:val="20"/>
        </w:rPr>
        <w:t>M</w:t>
      </w:r>
      <w:r w:rsidRPr="006B2F13">
        <w:rPr>
          <w:sz w:val="20"/>
        </w:rPr>
        <w:t xml:space="preserve">ember </w:t>
      </w:r>
      <w:r>
        <w:rPr>
          <w:sz w:val="20"/>
        </w:rPr>
        <w:t>S</w:t>
      </w:r>
      <w:r w:rsidRPr="006B2F13">
        <w:rPr>
          <w:sz w:val="20"/>
        </w:rPr>
        <w:t>tate</w:t>
      </w:r>
      <w:r w:rsidR="00BA7CD1">
        <w:rPr>
          <w:sz w:val="20"/>
        </w:rPr>
        <w:t>; and</w:t>
      </w:r>
    </w:p>
    <w:p w14:paraId="12CD8B0F" w14:textId="4A5F1048" w:rsidR="00BA7CD1" w:rsidRPr="002E16E5" w:rsidRDefault="00BA7CD1" w:rsidP="005377C1">
      <w:pPr>
        <w:pStyle w:val="ScheduleL2"/>
        <w:rPr>
          <w:sz w:val="20"/>
        </w:rPr>
      </w:pPr>
      <w:r>
        <w:rPr>
          <w:sz w:val="20"/>
        </w:rPr>
        <w:t>The Proof of Sustainability complies with the requirements set out in section 13 Austrian Fuel Ordinance, in particular it contains all of the data required in section 13(6) Austrian Fuel Ordinance.</w:t>
      </w:r>
    </w:p>
    <w:p w14:paraId="1E2A006A" w14:textId="7C704E65" w:rsidR="005A6E53" w:rsidRPr="005377C1" w:rsidRDefault="005A6E53" w:rsidP="007E5351">
      <w:pPr>
        <w:pStyle w:val="ScheduleL1"/>
        <w:rPr>
          <w:bCs/>
          <w:sz w:val="20"/>
        </w:rPr>
      </w:pPr>
      <w:r w:rsidRPr="002E16E5">
        <w:rPr>
          <w:b/>
          <w:sz w:val="20"/>
        </w:rPr>
        <w:t xml:space="preserve">Additional Country of Use Requirements: </w:t>
      </w:r>
      <w:r w:rsidR="005377C1" w:rsidRPr="002E16E5">
        <w:rPr>
          <w:bCs/>
          <w:sz w:val="20"/>
        </w:rPr>
        <w:t>If Austria is the county of use, but not the country of origin,</w:t>
      </w:r>
      <w:r w:rsidR="005377C1">
        <w:rPr>
          <w:bCs/>
          <w:sz w:val="20"/>
        </w:rPr>
        <w:t xml:space="preserve"> the Seller undertakes that the Proof of Sustainability is eligible to be counted against the targets set out in section 5, 6 and 7 Austrian Fuel Ordinance in accordance with section 17 Austrian Fuel Ordinance.</w:t>
      </w:r>
    </w:p>
    <w:p w14:paraId="52EFD84C" w14:textId="506F9C2C" w:rsidR="007E5351" w:rsidRPr="006C7B84" w:rsidRDefault="007E5351" w:rsidP="007E5351">
      <w:pPr>
        <w:pStyle w:val="ScheduleL1"/>
        <w:rPr>
          <w:b/>
          <w:sz w:val="20"/>
        </w:rPr>
      </w:pPr>
      <w:r w:rsidRPr="006C7B84">
        <w:rPr>
          <w:b/>
          <w:sz w:val="20"/>
        </w:rPr>
        <w:t>Delivery and Acceptance of Evidence of Mass Balance:</w:t>
      </w:r>
    </w:p>
    <w:p w14:paraId="5649C40F" w14:textId="03B2474D" w:rsidR="007E5351" w:rsidRPr="00477DC9" w:rsidRDefault="007E5351" w:rsidP="007E5351">
      <w:pPr>
        <w:pStyle w:val="ScheduleL2"/>
        <w:rPr>
          <w:sz w:val="20"/>
        </w:rPr>
      </w:pPr>
      <w:r w:rsidRPr="00050E4C">
        <w:rPr>
          <w:b/>
          <w:bCs/>
          <w:sz w:val="20"/>
        </w:rPr>
        <w:t>Delivery and Acceptance:</w:t>
      </w:r>
      <w:r w:rsidRPr="00477DC9">
        <w:rPr>
          <w:sz w:val="20"/>
        </w:rPr>
        <w:t xml:space="preserve"> No later than three (3) days after the Delivery Date</w:t>
      </w:r>
      <w:r w:rsidR="004D0217">
        <w:rPr>
          <w:sz w:val="20"/>
        </w:rPr>
        <w:t>, the</w:t>
      </w:r>
      <w:r w:rsidRPr="00050E4C">
        <w:rPr>
          <w:bCs/>
          <w:sz w:val="20"/>
        </w:rPr>
        <w:t xml:space="preserve"> </w:t>
      </w:r>
      <w:r>
        <w:rPr>
          <w:bCs/>
          <w:sz w:val="20"/>
        </w:rPr>
        <w:t xml:space="preserve">Seller shall deliver the Evidence of Mass Balance via e-mail to the Buyer’s e-mail address </w:t>
      </w:r>
      <w:r w:rsidRPr="009D749E">
        <w:rPr>
          <w:bCs/>
          <w:sz w:val="20"/>
          <w:u w:val="single"/>
        </w:rPr>
        <w:t>indicated in Section B of Part I (</w:t>
      </w:r>
      <w:r w:rsidRPr="009D749E">
        <w:rPr>
          <w:bCs/>
          <w:i/>
          <w:iCs/>
          <w:sz w:val="20"/>
          <w:u w:val="single"/>
        </w:rPr>
        <w:t>Election Sheet</w:t>
      </w:r>
      <w:r w:rsidRPr="009D749E">
        <w:rPr>
          <w:bCs/>
          <w:sz w:val="20"/>
          <w:u w:val="single"/>
        </w:rPr>
        <w:t>)</w:t>
      </w:r>
      <w:r>
        <w:rPr>
          <w:bCs/>
          <w:sz w:val="20"/>
        </w:rPr>
        <w:t>.</w:t>
      </w:r>
    </w:p>
    <w:p w14:paraId="66F3553B" w14:textId="4B7F678A" w:rsidR="007E5351" w:rsidRPr="00477DC9" w:rsidRDefault="007E5351" w:rsidP="007E5351">
      <w:pPr>
        <w:pStyle w:val="ScheduleL2"/>
        <w:rPr>
          <w:sz w:val="20"/>
        </w:rPr>
      </w:pPr>
      <w:r w:rsidRPr="00050E4C">
        <w:rPr>
          <w:b/>
          <w:bCs/>
          <w:sz w:val="20"/>
        </w:rPr>
        <w:t>Transfer of Title and Risk:</w:t>
      </w:r>
      <w:r>
        <w:rPr>
          <w:sz w:val="20"/>
        </w:rPr>
        <w:t xml:space="preserve"> Title and risk in the </w:t>
      </w:r>
      <w:r>
        <w:rPr>
          <w:bCs/>
          <w:sz w:val="20"/>
        </w:rPr>
        <w:t xml:space="preserve">Evidence of Mass Balance </w:t>
      </w:r>
      <w:r>
        <w:rPr>
          <w:sz w:val="20"/>
        </w:rPr>
        <w:t xml:space="preserve">shall pass from </w:t>
      </w:r>
      <w:r w:rsidR="0000674B">
        <w:rPr>
          <w:sz w:val="20"/>
        </w:rPr>
        <w:t xml:space="preserve">the </w:t>
      </w:r>
      <w:r>
        <w:rPr>
          <w:sz w:val="20"/>
        </w:rPr>
        <w:t xml:space="preserve">Seller to </w:t>
      </w:r>
      <w:r w:rsidR="0000674B">
        <w:rPr>
          <w:sz w:val="20"/>
        </w:rPr>
        <w:t xml:space="preserve">the </w:t>
      </w:r>
      <w:r>
        <w:rPr>
          <w:sz w:val="20"/>
        </w:rPr>
        <w:t xml:space="preserve">Buyer with </w:t>
      </w:r>
      <w:r w:rsidRPr="006E0C81">
        <w:rPr>
          <w:sz w:val="20"/>
        </w:rPr>
        <w:t xml:space="preserve">receipt of email (with copy of </w:t>
      </w:r>
      <w:r>
        <w:rPr>
          <w:bCs/>
          <w:sz w:val="20"/>
        </w:rPr>
        <w:t xml:space="preserve">Evidence of Mass Balance </w:t>
      </w:r>
      <w:r w:rsidRPr="006E0C81">
        <w:rPr>
          <w:sz w:val="20"/>
        </w:rPr>
        <w:t xml:space="preserve">attached) by </w:t>
      </w:r>
      <w:r w:rsidR="0000674B">
        <w:rPr>
          <w:sz w:val="20"/>
        </w:rPr>
        <w:t xml:space="preserve">the </w:t>
      </w:r>
      <w:r w:rsidRPr="006E0C81">
        <w:rPr>
          <w:sz w:val="20"/>
        </w:rPr>
        <w:t>Buyer</w:t>
      </w:r>
      <w:r>
        <w:rPr>
          <w:sz w:val="20"/>
        </w:rPr>
        <w:t>.</w:t>
      </w:r>
    </w:p>
    <w:p w14:paraId="201993D9" w14:textId="77777777" w:rsidR="007E5351" w:rsidRPr="006C7B84" w:rsidRDefault="007E5351" w:rsidP="007E5351">
      <w:pPr>
        <w:pStyle w:val="ScheduleL1"/>
        <w:rPr>
          <w:b/>
          <w:sz w:val="20"/>
        </w:rPr>
      </w:pPr>
      <w:r w:rsidRPr="006C7B84">
        <w:rPr>
          <w:b/>
          <w:sz w:val="20"/>
        </w:rPr>
        <w:t xml:space="preserve">Delivery and Acceptance of Proof of Sustainability: </w:t>
      </w:r>
    </w:p>
    <w:p w14:paraId="1049B664" w14:textId="11FBA0D2" w:rsidR="007E5351" w:rsidRPr="00477DC9" w:rsidRDefault="007E5351" w:rsidP="007E5351">
      <w:pPr>
        <w:pStyle w:val="ScheduleL2"/>
        <w:rPr>
          <w:sz w:val="20"/>
        </w:rPr>
      </w:pPr>
      <w:r w:rsidRPr="006C7B84">
        <w:rPr>
          <w:b/>
          <w:sz w:val="20"/>
        </w:rPr>
        <w:t>Delivery and Acceptance:</w:t>
      </w:r>
      <w:r w:rsidRPr="00477DC9">
        <w:rPr>
          <w:sz w:val="20"/>
        </w:rPr>
        <w:t xml:space="preserve"> No later than three (3) days after the Delivery Date and in accordance with the modalities of transfer set out in </w:t>
      </w:r>
      <w:r>
        <w:rPr>
          <w:sz w:val="20"/>
        </w:rPr>
        <w:fldChar w:fldCharType="begin"/>
      </w:r>
      <w:r>
        <w:rPr>
          <w:sz w:val="20"/>
        </w:rPr>
        <w:instrText xml:space="preserve"> REF _Ref122087319 \w \h </w:instrText>
      </w:r>
      <w:r>
        <w:rPr>
          <w:sz w:val="20"/>
        </w:rPr>
      </w:r>
      <w:r>
        <w:rPr>
          <w:sz w:val="20"/>
        </w:rPr>
        <w:fldChar w:fldCharType="separate"/>
      </w:r>
      <w:r w:rsidR="00C30570">
        <w:rPr>
          <w:sz w:val="20"/>
        </w:rPr>
        <w:t>7(b)</w:t>
      </w:r>
      <w:r>
        <w:rPr>
          <w:sz w:val="20"/>
        </w:rPr>
        <w:fldChar w:fldCharType="end"/>
      </w:r>
      <w:r>
        <w:rPr>
          <w:sz w:val="20"/>
        </w:rPr>
        <w:t xml:space="preserve"> (</w:t>
      </w:r>
      <w:r w:rsidRPr="00335158">
        <w:rPr>
          <w:i/>
          <w:iCs/>
          <w:sz w:val="20"/>
        </w:rPr>
        <w:t>Modalities of</w:t>
      </w:r>
      <w:r>
        <w:rPr>
          <w:sz w:val="20"/>
        </w:rPr>
        <w:t xml:space="preserve"> </w:t>
      </w:r>
      <w:r w:rsidRPr="00A6477A">
        <w:rPr>
          <w:i/>
          <w:sz w:val="20"/>
        </w:rPr>
        <w:t>Transfer</w:t>
      </w:r>
      <w:r>
        <w:rPr>
          <w:sz w:val="20"/>
        </w:rPr>
        <w:t>)</w:t>
      </w:r>
      <w:r w:rsidRPr="00A6477A">
        <w:rPr>
          <w:sz w:val="20"/>
        </w:rPr>
        <w:t xml:space="preserve">, the Seller shall </w:t>
      </w:r>
      <w:r>
        <w:rPr>
          <w:sz w:val="20"/>
        </w:rPr>
        <w:t>d</w:t>
      </w:r>
      <w:r w:rsidRPr="00A6477A">
        <w:rPr>
          <w:sz w:val="20"/>
        </w:rPr>
        <w:t>eliver</w:t>
      </w:r>
      <w:r>
        <w:rPr>
          <w:sz w:val="20"/>
        </w:rPr>
        <w:t>,</w:t>
      </w:r>
      <w:r w:rsidRPr="00A6477A">
        <w:rPr>
          <w:sz w:val="20"/>
        </w:rPr>
        <w:t xml:space="preserve"> or cause to be </w:t>
      </w:r>
      <w:r>
        <w:rPr>
          <w:sz w:val="20"/>
        </w:rPr>
        <w:t>d</w:t>
      </w:r>
      <w:r w:rsidRPr="00A6477A">
        <w:rPr>
          <w:sz w:val="20"/>
        </w:rPr>
        <w:t>elivered</w:t>
      </w:r>
      <w:r>
        <w:rPr>
          <w:sz w:val="20"/>
        </w:rPr>
        <w:t xml:space="preserve">, </w:t>
      </w:r>
      <w:r w:rsidRPr="00A6477A">
        <w:rPr>
          <w:sz w:val="20"/>
        </w:rPr>
        <w:t>and the Buyer shall accept, or cause to be accepted</w:t>
      </w:r>
      <w:r>
        <w:rPr>
          <w:sz w:val="20"/>
        </w:rPr>
        <w:t xml:space="preserve">, the Proof of Sustainability corresponding to the </w:t>
      </w:r>
      <w:r w:rsidRPr="00A6477A">
        <w:rPr>
          <w:sz w:val="20"/>
        </w:rPr>
        <w:t>Contract Quantity of Certificates</w:t>
      </w:r>
      <w:r>
        <w:rPr>
          <w:sz w:val="20"/>
        </w:rPr>
        <w:t>.</w:t>
      </w:r>
    </w:p>
    <w:p w14:paraId="76E6C389" w14:textId="77777777" w:rsidR="007E5351" w:rsidRDefault="007E5351" w:rsidP="007E5351">
      <w:pPr>
        <w:pStyle w:val="ScheduleL2"/>
        <w:rPr>
          <w:sz w:val="20"/>
        </w:rPr>
      </w:pPr>
      <w:bookmarkStart w:id="9" w:name="_Ref122087319"/>
      <w:r w:rsidRPr="00335158">
        <w:rPr>
          <w:b/>
          <w:bCs/>
          <w:sz w:val="20"/>
        </w:rPr>
        <w:t>Modalities of Transfer:</w:t>
      </w:r>
      <w:r>
        <w:rPr>
          <w:sz w:val="20"/>
        </w:rPr>
        <w:t xml:space="preserve"> In accordance with the Parties’ choice, the modalities of transfer shall be as follows:</w:t>
      </w:r>
      <w:bookmarkEnd w:id="9"/>
    </w:p>
    <w:p w14:paraId="0DE85B3B" w14:textId="1252AD0D" w:rsidR="007E5351" w:rsidRPr="00335158" w:rsidRDefault="007E5351" w:rsidP="007E5351">
      <w:pPr>
        <w:pStyle w:val="ScheduleL3"/>
        <w:rPr>
          <w:sz w:val="20"/>
        </w:rPr>
      </w:pPr>
      <w:bookmarkStart w:id="10" w:name="_Ref122363194"/>
      <w:r>
        <w:rPr>
          <w:sz w:val="20"/>
        </w:rPr>
        <w:t xml:space="preserve">[  ] </w:t>
      </w:r>
      <w:r w:rsidRPr="00335158">
        <w:rPr>
          <w:b/>
          <w:bCs/>
          <w:sz w:val="20"/>
        </w:rPr>
        <w:t xml:space="preserve">Electronic Transfer of PoS: </w:t>
      </w:r>
      <w:r w:rsidRPr="004320C4">
        <w:rPr>
          <w:bCs/>
          <w:sz w:val="20"/>
          <w:u w:val="single"/>
        </w:rPr>
        <w:t>If "Electronic Transfer of PoS" is specified to apply</w:t>
      </w:r>
      <w:r>
        <w:rPr>
          <w:bCs/>
          <w:sz w:val="20"/>
        </w:rPr>
        <w:t xml:space="preserve">, the Seller shall deliver the PoS in </w:t>
      </w:r>
      <w:r w:rsidRPr="00335158">
        <w:rPr>
          <w:bCs/>
          <w:sz w:val="20"/>
        </w:rPr>
        <w:t xml:space="preserve">accordance with </w:t>
      </w:r>
      <w:r w:rsidRPr="00335158">
        <w:rPr>
          <w:sz w:val="20"/>
        </w:rPr>
        <w:t xml:space="preserve">the provisions of the PoS </w:t>
      </w:r>
      <w:r w:rsidR="007746E7">
        <w:rPr>
          <w:sz w:val="20"/>
        </w:rPr>
        <w:t>Database</w:t>
      </w:r>
      <w:r w:rsidRPr="00335158">
        <w:rPr>
          <w:sz w:val="20"/>
        </w:rPr>
        <w:t xml:space="preserve"> Rules.</w:t>
      </w:r>
      <w:bookmarkEnd w:id="10"/>
    </w:p>
    <w:p w14:paraId="26008EAC" w14:textId="77777777" w:rsidR="007E5351" w:rsidRPr="00335158" w:rsidRDefault="007E5351" w:rsidP="007E5351">
      <w:pPr>
        <w:pStyle w:val="ScheduleL3"/>
        <w:rPr>
          <w:b/>
          <w:bCs/>
          <w:sz w:val="20"/>
        </w:rPr>
      </w:pPr>
      <w:r w:rsidRPr="00335158">
        <w:rPr>
          <w:b/>
          <w:bCs/>
          <w:i/>
          <w:iCs/>
          <w:sz w:val="20"/>
        </w:rPr>
        <w:t>otherwise</w:t>
      </w:r>
      <w:r w:rsidRPr="00335158">
        <w:rPr>
          <w:b/>
          <w:bCs/>
          <w:sz w:val="20"/>
        </w:rPr>
        <w:t xml:space="preserve"> Transfer of PoS by E-Mail:</w:t>
      </w:r>
      <w:r>
        <w:rPr>
          <w:b/>
          <w:bCs/>
          <w:sz w:val="20"/>
        </w:rPr>
        <w:t xml:space="preserve"> </w:t>
      </w:r>
      <w:r>
        <w:rPr>
          <w:bCs/>
          <w:sz w:val="20"/>
          <w:u w:val="single"/>
        </w:rPr>
        <w:t>Unless</w:t>
      </w:r>
      <w:r w:rsidRPr="004320C4">
        <w:rPr>
          <w:bCs/>
          <w:sz w:val="20"/>
          <w:u w:val="single"/>
        </w:rPr>
        <w:t xml:space="preserve"> "Electronic Transfer of PoS" is specified to apply</w:t>
      </w:r>
      <w:r>
        <w:rPr>
          <w:bCs/>
          <w:sz w:val="20"/>
        </w:rPr>
        <w:t xml:space="preserve">, Seller shall deliver the Proof of Sustainability via e-mail to the Buyer’s e-mail address </w:t>
      </w:r>
      <w:r w:rsidRPr="00BD379A">
        <w:rPr>
          <w:bCs/>
          <w:sz w:val="20"/>
          <w:u w:val="single"/>
        </w:rPr>
        <w:t>indicated in Section B of Part I (</w:t>
      </w:r>
      <w:r w:rsidRPr="00BD379A">
        <w:rPr>
          <w:bCs/>
          <w:i/>
          <w:iCs/>
          <w:sz w:val="20"/>
          <w:u w:val="single"/>
        </w:rPr>
        <w:t>Election Sheet</w:t>
      </w:r>
      <w:r w:rsidRPr="00BD379A">
        <w:rPr>
          <w:bCs/>
          <w:sz w:val="20"/>
          <w:u w:val="single"/>
        </w:rPr>
        <w:t>)</w:t>
      </w:r>
      <w:r>
        <w:rPr>
          <w:bCs/>
          <w:sz w:val="20"/>
        </w:rPr>
        <w:t>.</w:t>
      </w:r>
    </w:p>
    <w:p w14:paraId="7E6E24B6" w14:textId="7FE468CB" w:rsidR="007E5351" w:rsidRPr="00477DC9" w:rsidRDefault="007E5351" w:rsidP="007E5351">
      <w:pPr>
        <w:pStyle w:val="ScheduleL2"/>
        <w:rPr>
          <w:sz w:val="20"/>
        </w:rPr>
      </w:pPr>
      <w:r w:rsidRPr="006E0C81">
        <w:rPr>
          <w:b/>
          <w:bCs/>
          <w:sz w:val="20"/>
        </w:rPr>
        <w:t>Transfer of Title and Risk:</w:t>
      </w:r>
      <w:r>
        <w:rPr>
          <w:sz w:val="20"/>
        </w:rPr>
        <w:t xml:space="preserve"> Title and risk in the Proof of Sustainability shall pass from </w:t>
      </w:r>
      <w:r w:rsidR="0000674B">
        <w:rPr>
          <w:sz w:val="20"/>
        </w:rPr>
        <w:t xml:space="preserve">the </w:t>
      </w:r>
      <w:r>
        <w:rPr>
          <w:sz w:val="20"/>
        </w:rPr>
        <w:t xml:space="preserve">Seller to </w:t>
      </w:r>
      <w:r w:rsidR="0000674B">
        <w:rPr>
          <w:sz w:val="20"/>
        </w:rPr>
        <w:t xml:space="preserve">the </w:t>
      </w:r>
      <w:r>
        <w:rPr>
          <w:sz w:val="20"/>
        </w:rPr>
        <w:t xml:space="preserve">Buyer with respect to Electronic Transfer of PoS with the crediting of the PoS to the Buyer’s account with the PoS </w:t>
      </w:r>
      <w:r w:rsidR="007746E7">
        <w:rPr>
          <w:sz w:val="20"/>
        </w:rPr>
        <w:t>Database</w:t>
      </w:r>
      <w:r>
        <w:rPr>
          <w:sz w:val="20"/>
        </w:rPr>
        <w:t xml:space="preserve">; and with respect to Transfer of PoS by E-Mail, with </w:t>
      </w:r>
      <w:r w:rsidRPr="006E0C81">
        <w:rPr>
          <w:sz w:val="20"/>
        </w:rPr>
        <w:t xml:space="preserve">receipt of email (with copy of </w:t>
      </w:r>
      <w:r>
        <w:rPr>
          <w:sz w:val="20"/>
        </w:rPr>
        <w:t xml:space="preserve">Proof of Sustainability </w:t>
      </w:r>
      <w:r w:rsidRPr="006E0C81">
        <w:rPr>
          <w:sz w:val="20"/>
        </w:rPr>
        <w:t xml:space="preserve">attached) by </w:t>
      </w:r>
      <w:r w:rsidR="0000674B">
        <w:rPr>
          <w:sz w:val="20"/>
        </w:rPr>
        <w:t xml:space="preserve">the </w:t>
      </w:r>
      <w:r w:rsidRPr="006E0C81">
        <w:rPr>
          <w:sz w:val="20"/>
        </w:rPr>
        <w:t>Buyer</w:t>
      </w:r>
      <w:r>
        <w:rPr>
          <w:sz w:val="20"/>
        </w:rPr>
        <w:t>.</w:t>
      </w:r>
    </w:p>
    <w:p w14:paraId="5D371911" w14:textId="301412B2" w:rsidR="005D5CDA" w:rsidRPr="000C62BB" w:rsidRDefault="005D5CDA" w:rsidP="005D5CDA">
      <w:pPr>
        <w:pStyle w:val="ScheduleL1"/>
        <w:rPr>
          <w:b/>
          <w:bCs/>
          <w:sz w:val="20"/>
        </w:rPr>
      </w:pPr>
      <w:r>
        <w:rPr>
          <w:sz w:val="20"/>
        </w:rPr>
        <w:t xml:space="preserve">[  ] </w:t>
      </w:r>
      <w:r w:rsidRPr="000C62BB">
        <w:rPr>
          <w:b/>
          <w:bCs/>
          <w:sz w:val="20"/>
        </w:rPr>
        <w:t>Union Database and PoS-ID</w:t>
      </w:r>
      <w:r>
        <w:rPr>
          <w:b/>
          <w:bCs/>
          <w:sz w:val="20"/>
        </w:rPr>
        <w:t xml:space="preserve"> (</w:t>
      </w:r>
      <w:r w:rsidRPr="000C62BB">
        <w:rPr>
          <w:i/>
          <w:sz w:val="20"/>
          <w:u w:val="single"/>
        </w:rPr>
        <w:t>if specified to apply, the following applies</w:t>
      </w:r>
      <w:r>
        <w:rPr>
          <w:sz w:val="20"/>
        </w:rPr>
        <w:t>)</w:t>
      </w:r>
      <w:r w:rsidRPr="000C62BB">
        <w:rPr>
          <w:b/>
          <w:bCs/>
          <w:sz w:val="20"/>
        </w:rPr>
        <w:t>:</w:t>
      </w:r>
    </w:p>
    <w:p w14:paraId="54014F5E" w14:textId="24DF3FDC" w:rsidR="005D5CDA" w:rsidRPr="000C62BB" w:rsidRDefault="005D5CDA" w:rsidP="005D5CDA">
      <w:pPr>
        <w:pStyle w:val="ScheduleL2"/>
        <w:rPr>
          <w:bCs/>
        </w:rPr>
      </w:pPr>
      <w:r w:rsidRPr="005D5CDA">
        <w:rPr>
          <w:b/>
          <w:sz w:val="20"/>
        </w:rPr>
        <w:t>"</w:t>
      </w:r>
      <w:r w:rsidRPr="000C62BB">
        <w:rPr>
          <w:b/>
        </w:rPr>
        <w:t>PoS-ID</w:t>
      </w:r>
      <w:r w:rsidRPr="005D5CDA">
        <w:rPr>
          <w:b/>
          <w:sz w:val="20"/>
        </w:rPr>
        <w:t>"</w:t>
      </w:r>
      <w:r>
        <w:rPr>
          <w:b/>
          <w:sz w:val="20"/>
        </w:rPr>
        <w:t xml:space="preserve"> </w:t>
      </w:r>
      <w:r w:rsidRPr="000C62BB">
        <w:rPr>
          <w:bCs/>
          <w:sz w:val="20"/>
        </w:rPr>
        <w:t xml:space="preserve">means </w:t>
      </w:r>
      <w:r>
        <w:rPr>
          <w:bCs/>
          <w:sz w:val="20"/>
        </w:rPr>
        <w:t xml:space="preserve">the unique Proof of Sustainability identification number issued by the Union Database for a given volume of </w:t>
      </w:r>
      <w:r w:rsidR="008E326E">
        <w:rPr>
          <w:bCs/>
          <w:sz w:val="20"/>
        </w:rPr>
        <w:t>Biogas injected into the grid;</w:t>
      </w:r>
    </w:p>
    <w:p w14:paraId="7F9775C0" w14:textId="62B8038D" w:rsidR="005D5CDA" w:rsidRPr="000C62BB" w:rsidRDefault="008E326E" w:rsidP="005D5CDA">
      <w:pPr>
        <w:pStyle w:val="ScheduleL2"/>
        <w:rPr>
          <w:sz w:val="20"/>
        </w:rPr>
      </w:pPr>
      <w:r w:rsidRPr="000C62BB">
        <w:rPr>
          <w:b/>
          <w:bCs/>
          <w:sz w:val="20"/>
        </w:rPr>
        <w:t>Transfer of PoS-ID:</w:t>
      </w:r>
      <w:r w:rsidRPr="008E326E">
        <w:rPr>
          <w:sz w:val="20"/>
        </w:rPr>
        <w:t xml:space="preserve"> </w:t>
      </w:r>
      <w:r w:rsidR="005D5CDA" w:rsidRPr="008E326E">
        <w:rPr>
          <w:sz w:val="20"/>
        </w:rPr>
        <w:t xml:space="preserve">No later than three (3) days after the Delivery Date the Seller shall transfer </w:t>
      </w:r>
      <w:r w:rsidR="005D5CDA" w:rsidRPr="008E326E">
        <w:rPr>
          <w:bCs/>
          <w:sz w:val="20"/>
        </w:rPr>
        <w:t xml:space="preserve">via e-mail to the Buyer’s e-mail address </w:t>
      </w:r>
      <w:r w:rsidR="005D5CDA" w:rsidRPr="008E326E">
        <w:rPr>
          <w:bCs/>
          <w:sz w:val="20"/>
          <w:u w:val="single"/>
        </w:rPr>
        <w:t>indicated in Section B of Part I (</w:t>
      </w:r>
      <w:r w:rsidR="005D5CDA" w:rsidRPr="008E326E">
        <w:rPr>
          <w:bCs/>
          <w:i/>
          <w:iCs/>
          <w:sz w:val="20"/>
          <w:u w:val="single"/>
        </w:rPr>
        <w:t>Election Sheet</w:t>
      </w:r>
      <w:r w:rsidR="005D5CDA" w:rsidRPr="008E326E">
        <w:rPr>
          <w:bCs/>
          <w:sz w:val="20"/>
          <w:u w:val="single"/>
        </w:rPr>
        <w:t>) the PoS-ID</w:t>
      </w:r>
      <w:r w:rsidR="00E47CB9">
        <w:rPr>
          <w:bCs/>
          <w:sz w:val="20"/>
          <w:u w:val="single"/>
        </w:rPr>
        <w:t>(s)</w:t>
      </w:r>
      <w:r w:rsidR="00A67741">
        <w:rPr>
          <w:bCs/>
          <w:sz w:val="20"/>
          <w:u w:val="single"/>
        </w:rPr>
        <w:t xml:space="preserve"> for the </w:t>
      </w:r>
      <w:r w:rsidR="00A67741" w:rsidRPr="00CD211A">
        <w:rPr>
          <w:sz w:val="20"/>
        </w:rPr>
        <w:t>Biogas corresponding to the Contract Quantity of Certificates</w:t>
      </w:r>
      <w:r w:rsidR="005D5CDA" w:rsidRPr="008E326E">
        <w:rPr>
          <w:bCs/>
          <w:sz w:val="20"/>
          <w:u w:val="single"/>
        </w:rPr>
        <w:t>;</w:t>
      </w:r>
    </w:p>
    <w:p w14:paraId="66576458" w14:textId="4BD7E54D" w:rsidR="008E326E" w:rsidRPr="008E326E" w:rsidRDefault="008E326E" w:rsidP="005D5CDA">
      <w:pPr>
        <w:pStyle w:val="ScheduleL2"/>
        <w:rPr>
          <w:sz w:val="20"/>
        </w:rPr>
      </w:pPr>
      <w:bookmarkStart w:id="11" w:name="_Ref135206424"/>
      <w:r w:rsidRPr="008E326E">
        <w:rPr>
          <w:b/>
          <w:bCs/>
          <w:sz w:val="20"/>
        </w:rPr>
        <w:t>Specific Representations and Warranties of Seller:</w:t>
      </w:r>
      <w:r w:rsidRPr="000C62BB">
        <w:rPr>
          <w:sz w:val="20"/>
        </w:rPr>
        <w:t xml:space="preserve"> The Seller represents and warrants </w:t>
      </w:r>
      <w:r w:rsidRPr="008E326E">
        <w:rPr>
          <w:sz w:val="20"/>
        </w:rPr>
        <w:t>the following</w:t>
      </w:r>
      <w:r w:rsidR="00E47CB9">
        <w:rPr>
          <w:sz w:val="20"/>
        </w:rPr>
        <w:t xml:space="preserve"> with regards to the PoS-ID(s) to be transferred to the Buyer</w:t>
      </w:r>
      <w:r w:rsidRPr="008E326E">
        <w:rPr>
          <w:sz w:val="20"/>
        </w:rPr>
        <w:t>:</w:t>
      </w:r>
      <w:bookmarkEnd w:id="11"/>
    </w:p>
    <w:p w14:paraId="3C6B7611" w14:textId="10B219A5" w:rsidR="008E326E" w:rsidRDefault="008E326E" w:rsidP="008E326E">
      <w:pPr>
        <w:pStyle w:val="ScheduleL3"/>
        <w:rPr>
          <w:sz w:val="20"/>
        </w:rPr>
      </w:pPr>
      <w:r w:rsidRPr="000C62BB">
        <w:rPr>
          <w:sz w:val="20"/>
        </w:rPr>
        <w:lastRenderedPageBreak/>
        <w:t xml:space="preserve">The Biogas corresponding to the Contract Quantity of Certificates has been injected into the grid and the injection has been </w:t>
      </w:r>
      <w:r>
        <w:rPr>
          <w:sz w:val="20"/>
        </w:rPr>
        <w:t>duly registered in the Union Database;</w:t>
      </w:r>
    </w:p>
    <w:p w14:paraId="1B8E9753" w14:textId="7C61E193" w:rsidR="008E326E" w:rsidRDefault="008E326E" w:rsidP="008E326E">
      <w:pPr>
        <w:pStyle w:val="ScheduleL3"/>
        <w:rPr>
          <w:sz w:val="20"/>
        </w:rPr>
      </w:pPr>
      <w:r>
        <w:rPr>
          <w:sz w:val="20"/>
        </w:rPr>
        <w:t>The data inserted in the Union Database regarding the</w:t>
      </w:r>
      <w:r w:rsidRPr="008E326E">
        <w:rPr>
          <w:sz w:val="20"/>
        </w:rPr>
        <w:t xml:space="preserve"> </w:t>
      </w:r>
      <w:r w:rsidRPr="00CD211A">
        <w:rPr>
          <w:sz w:val="20"/>
        </w:rPr>
        <w:t>Biogas corresponding to the Contract Quantity of Certificates</w:t>
      </w:r>
      <w:r>
        <w:rPr>
          <w:sz w:val="20"/>
        </w:rPr>
        <w:t xml:space="preserve"> is complete and correct;</w:t>
      </w:r>
    </w:p>
    <w:p w14:paraId="5217BE9C" w14:textId="515DB58A" w:rsidR="00E47CB9" w:rsidRDefault="00E47CB9" w:rsidP="008E326E">
      <w:pPr>
        <w:pStyle w:val="ScheduleL3"/>
        <w:rPr>
          <w:sz w:val="20"/>
        </w:rPr>
      </w:pPr>
      <w:r>
        <w:rPr>
          <w:sz w:val="20"/>
        </w:rPr>
        <w:t>The PoS-ID(s) has/have not been obtained fraudulently;</w:t>
      </w:r>
    </w:p>
    <w:p w14:paraId="62A8E1A3" w14:textId="003AAD7F" w:rsidR="008E326E" w:rsidRDefault="008E326E" w:rsidP="008E326E">
      <w:pPr>
        <w:pStyle w:val="ScheduleL3"/>
        <w:rPr>
          <w:sz w:val="20"/>
        </w:rPr>
      </w:pPr>
      <w:r>
        <w:rPr>
          <w:sz w:val="20"/>
        </w:rPr>
        <w:t xml:space="preserve">The </w:t>
      </w:r>
      <w:r w:rsidRPr="00CD211A">
        <w:rPr>
          <w:sz w:val="20"/>
        </w:rPr>
        <w:t>Biogas corresponding to the Contract Quantity of Certificates</w:t>
      </w:r>
      <w:r>
        <w:rPr>
          <w:sz w:val="20"/>
        </w:rPr>
        <w:t xml:space="preserve"> has not been marked as consumed by any third party and the Buyer has the exclusive </w:t>
      </w:r>
      <w:r w:rsidR="007A49BB">
        <w:rPr>
          <w:sz w:val="20"/>
        </w:rPr>
        <w:t xml:space="preserve">right to mark the </w:t>
      </w:r>
      <w:r w:rsidR="007A49BB" w:rsidRPr="00CD211A">
        <w:rPr>
          <w:sz w:val="20"/>
        </w:rPr>
        <w:t>Biogas corresponding to the Contract Quantity of Certificates</w:t>
      </w:r>
      <w:r w:rsidR="007A49BB">
        <w:rPr>
          <w:sz w:val="20"/>
        </w:rPr>
        <w:t xml:space="preserve"> as consumed in the Union Database.</w:t>
      </w:r>
    </w:p>
    <w:p w14:paraId="661E9908" w14:textId="1F6592E6" w:rsidR="00EB5A19" w:rsidRPr="000C62BB" w:rsidRDefault="00EB5A19" w:rsidP="000C62BB">
      <w:pPr>
        <w:pStyle w:val="ScheduleL3"/>
        <w:numPr>
          <w:ilvl w:val="0"/>
          <w:numId w:val="0"/>
        </w:numPr>
        <w:ind w:left="1440"/>
        <w:rPr>
          <w:sz w:val="20"/>
        </w:rPr>
      </w:pPr>
      <w:r>
        <w:rPr>
          <w:sz w:val="20"/>
        </w:rPr>
        <w:t xml:space="preserve">In case of breach of this </w:t>
      </w:r>
      <w:r>
        <w:rPr>
          <w:sz w:val="20"/>
        </w:rPr>
        <w:fldChar w:fldCharType="begin"/>
      </w:r>
      <w:r>
        <w:rPr>
          <w:sz w:val="20"/>
        </w:rPr>
        <w:instrText xml:space="preserve"> REF _Ref135206424 \w \h </w:instrText>
      </w:r>
      <w:r>
        <w:rPr>
          <w:sz w:val="20"/>
        </w:rPr>
      </w:r>
      <w:r>
        <w:rPr>
          <w:sz w:val="20"/>
        </w:rPr>
        <w:fldChar w:fldCharType="separate"/>
      </w:r>
      <w:r w:rsidR="00542561">
        <w:rPr>
          <w:sz w:val="20"/>
        </w:rPr>
        <w:t>8(c)</w:t>
      </w:r>
      <w:r>
        <w:rPr>
          <w:sz w:val="20"/>
        </w:rPr>
        <w:fldChar w:fldCharType="end"/>
      </w:r>
      <w:r>
        <w:rPr>
          <w:sz w:val="20"/>
        </w:rPr>
        <w:t xml:space="preserve">, </w:t>
      </w:r>
      <w:r w:rsidR="00370758">
        <w:rPr>
          <w:sz w:val="20"/>
        </w:rPr>
        <w:t>7.2</w:t>
      </w:r>
      <w:r>
        <w:rPr>
          <w:sz w:val="20"/>
        </w:rPr>
        <w:t xml:space="preserve"> </w:t>
      </w:r>
      <w:r w:rsidR="005439FA">
        <w:rPr>
          <w:sz w:val="20"/>
        </w:rPr>
        <w:t>(</w:t>
      </w:r>
      <w:r w:rsidR="005439FA" w:rsidRPr="000C62BB">
        <w:rPr>
          <w:i/>
          <w:iCs/>
          <w:sz w:val="20"/>
        </w:rPr>
        <w:t>Remedies for Ineffectiveness</w:t>
      </w:r>
      <w:r w:rsidR="005439FA">
        <w:rPr>
          <w:sz w:val="20"/>
        </w:rPr>
        <w:t xml:space="preserve">) and </w:t>
      </w:r>
      <w:r w:rsidR="00370758">
        <w:rPr>
          <w:sz w:val="20"/>
        </w:rPr>
        <w:t>7.3</w:t>
      </w:r>
      <w:r w:rsidR="005439FA">
        <w:rPr>
          <w:sz w:val="20"/>
        </w:rPr>
        <w:t xml:space="preserve"> (</w:t>
      </w:r>
      <w:r w:rsidR="005439FA" w:rsidRPr="000C62BB">
        <w:rPr>
          <w:i/>
          <w:iCs/>
          <w:sz w:val="20"/>
        </w:rPr>
        <w:t>Exclusive Remedies</w:t>
      </w:r>
      <w:r w:rsidR="005439FA">
        <w:rPr>
          <w:sz w:val="20"/>
        </w:rPr>
        <w:t>) shall apply.</w:t>
      </w:r>
    </w:p>
    <w:p w14:paraId="1DDFCB25" w14:textId="77777777" w:rsidR="005D5CDA" w:rsidRPr="008E326E" w:rsidRDefault="005D5CDA" w:rsidP="005D5CDA">
      <w:pPr>
        <w:pStyle w:val="ScheduleL1"/>
        <w:numPr>
          <w:ilvl w:val="0"/>
          <w:numId w:val="0"/>
        </w:numPr>
        <w:ind w:left="720" w:hanging="720"/>
        <w:rPr>
          <w:sz w:val="20"/>
        </w:rPr>
      </w:pPr>
    </w:p>
    <w:p w14:paraId="09078996" w14:textId="7AC2D00B" w:rsidR="00FE007B" w:rsidRPr="00243912" w:rsidRDefault="00FE007B" w:rsidP="005E45AA">
      <w:pPr>
        <w:pStyle w:val="MarginText"/>
        <w:rPr>
          <w:i/>
          <w:iCs/>
        </w:rPr>
      </w:pPr>
    </w:p>
    <w:sectPr w:rsidR="00FE007B" w:rsidRPr="00243912">
      <w:footerReference w:type="default" r:id="rId18"/>
      <w:endnotePr>
        <w:numFmt w:val="decimal"/>
      </w:endnotePr>
      <w:pgSz w:w="11909" w:h="16834" w:code="9"/>
      <w:pgMar w:top="1440" w:right="1440" w:bottom="1440" w:left="1440" w:header="720" w:footer="57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4A79" w14:textId="77777777" w:rsidR="00B05ECA" w:rsidRDefault="00B05ECA">
      <w:pPr>
        <w:spacing w:line="20" w:lineRule="exact"/>
      </w:pPr>
    </w:p>
  </w:endnote>
  <w:endnote w:type="continuationSeparator" w:id="0">
    <w:p w14:paraId="716CEBE4" w14:textId="77777777" w:rsidR="00B05ECA" w:rsidRDefault="00B05ECA">
      <w:pPr>
        <w:spacing w:line="20" w:lineRule="exact"/>
      </w:pPr>
      <w:r>
        <w:t xml:space="preserve"> </w:t>
      </w:r>
    </w:p>
  </w:endnote>
  <w:endnote w:type="continuationNotice" w:id="1">
    <w:p w14:paraId="4537CD73" w14:textId="77777777" w:rsidR="00B05ECA" w:rsidRDefault="00B05EC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A5A2" w14:textId="1DA05A42" w:rsidR="00C94C2E" w:rsidRDefault="00C94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2F0807" w14:textId="77777777" w:rsidR="00C94C2E" w:rsidRDefault="00C94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C1F4" w14:textId="17266EE6" w:rsidR="00C94C2E" w:rsidRPr="00D97F2D" w:rsidRDefault="00D97F2D" w:rsidP="00D97F2D">
    <w:pPr>
      <w:pStyle w:val="Footer"/>
      <w:tabs>
        <w:tab w:val="clear" w:pos="4153"/>
        <w:tab w:val="clear" w:pos="8306"/>
        <w:tab w:val="center" w:pos="3402"/>
        <w:tab w:val="right" w:pos="9029"/>
      </w:tabs>
      <w:rPr>
        <w:rStyle w:val="PageNumber"/>
        <w:sz w:val="20"/>
      </w:rPr>
    </w:pPr>
    <w:r w:rsidRPr="00627A34">
      <w:rPr>
        <w:b/>
        <w:sz w:val="18"/>
        <w:szCs w:val="22"/>
      </w:rPr>
      <w:t>Version 1.1</w:t>
    </w:r>
    <w:r>
      <w:rPr>
        <w:b/>
        <w:sz w:val="18"/>
        <w:szCs w:val="22"/>
      </w:rPr>
      <w:t>/June 2023</w:t>
    </w:r>
    <w:r w:rsidRPr="00627A34">
      <w:rPr>
        <w:b/>
        <w:sz w:val="18"/>
        <w:szCs w:val="22"/>
      </w:rPr>
      <w:tab/>
    </w:r>
    <w:r>
      <w:rPr>
        <w:b/>
        <w:sz w:val="18"/>
        <w:szCs w:val="22"/>
      </w:rPr>
      <w:tab/>
    </w:r>
    <w:r w:rsidRPr="00627A34">
      <w:rPr>
        <w:b/>
        <w:sz w:val="18"/>
        <w:szCs w:val="22"/>
      </w:rPr>
      <w:t xml:space="preserve">Copyright © 2023 by </w:t>
    </w:r>
    <w:r>
      <w:rPr>
        <w:b/>
        <w:sz w:val="18"/>
        <w:szCs w:val="22"/>
      </w:rPr>
      <w:t>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BE9C" w14:textId="62D6AB36" w:rsidR="00C94C2E" w:rsidRPr="00C94C2E" w:rsidRDefault="00C94C2E" w:rsidP="00ED3672">
    <w:pPr>
      <w:pStyle w:val="Footer"/>
      <w:tabs>
        <w:tab w:val="clear" w:pos="4153"/>
        <w:tab w:val="clear" w:pos="8306"/>
        <w:tab w:val="center" w:pos="3402"/>
        <w:tab w:val="right" w:pos="8931"/>
      </w:tabs>
      <w:rPr>
        <w:b/>
        <w:sz w:val="18"/>
        <w:szCs w:val="22"/>
      </w:rPr>
    </w:pPr>
    <w:r w:rsidRPr="00627A34">
      <w:rPr>
        <w:b/>
        <w:sz w:val="18"/>
        <w:szCs w:val="22"/>
      </w:rPr>
      <w:t>Version 1</w:t>
    </w:r>
    <w:r w:rsidR="00957F04" w:rsidRPr="00627A34">
      <w:rPr>
        <w:b/>
        <w:sz w:val="18"/>
        <w:szCs w:val="22"/>
      </w:rPr>
      <w:t>.1</w:t>
    </w:r>
    <w:r w:rsidR="00C35D2D">
      <w:rPr>
        <w:b/>
        <w:sz w:val="18"/>
        <w:szCs w:val="22"/>
      </w:rPr>
      <w:t>/June 2023</w:t>
    </w:r>
    <w:r w:rsidRPr="00627A34">
      <w:rPr>
        <w:b/>
        <w:sz w:val="18"/>
        <w:szCs w:val="22"/>
      </w:rPr>
      <w:tab/>
    </w:r>
    <w:r w:rsidR="00ED3672">
      <w:rPr>
        <w:b/>
        <w:sz w:val="18"/>
        <w:szCs w:val="22"/>
      </w:rPr>
      <w:tab/>
    </w:r>
    <w:r w:rsidRPr="00627A34">
      <w:rPr>
        <w:b/>
        <w:sz w:val="18"/>
        <w:szCs w:val="22"/>
      </w:rPr>
      <w:t xml:space="preserve">Copyright © </w:t>
    </w:r>
    <w:r w:rsidR="00957F04" w:rsidRPr="00627A34">
      <w:rPr>
        <w:b/>
        <w:sz w:val="18"/>
        <w:szCs w:val="22"/>
      </w:rPr>
      <w:t>202</w:t>
    </w:r>
    <w:r w:rsidR="00025810" w:rsidRPr="00627A34">
      <w:rPr>
        <w:b/>
        <w:sz w:val="18"/>
        <w:szCs w:val="22"/>
      </w:rPr>
      <w:t>3</w:t>
    </w:r>
    <w:r w:rsidR="00957F04" w:rsidRPr="00627A34">
      <w:rPr>
        <w:b/>
        <w:sz w:val="18"/>
        <w:szCs w:val="22"/>
      </w:rPr>
      <w:t xml:space="preserve"> </w:t>
    </w:r>
    <w:r w:rsidRPr="00627A34">
      <w:rPr>
        <w:b/>
        <w:sz w:val="18"/>
        <w:szCs w:val="22"/>
      </w:rPr>
      <w:t xml:space="preserve">by </w:t>
    </w:r>
    <w:bookmarkStart w:id="0" w:name="_Hlk136867564"/>
    <w:r w:rsidR="00ED3672">
      <w:rPr>
        <w:b/>
        <w:sz w:val="18"/>
        <w:szCs w:val="22"/>
      </w:rPr>
      <w:t>European Federation of Energy Traders (“</w:t>
    </w:r>
    <w:r w:rsidR="00DB788F">
      <w:rPr>
        <w:b/>
        <w:sz w:val="18"/>
        <w:szCs w:val="22"/>
      </w:rPr>
      <w:t>EFET</w:t>
    </w:r>
    <w:r w:rsidR="00ED3672">
      <w:rPr>
        <w:b/>
        <w:sz w:val="18"/>
        <w:szCs w:val="22"/>
      </w:rPr>
      <w: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641E" w14:textId="77777777" w:rsidR="00C94C2E" w:rsidRDefault="00C94C2E">
    <w:pPr>
      <w:pStyle w:val="Footer"/>
      <w:jc w:val="center"/>
    </w:pPr>
    <w:r>
      <w:fldChar w:fldCharType="begin"/>
    </w:r>
    <w:r>
      <w:instrText xml:space="preserve"> PAGE  \* Arabic  \* MERGEFORMAT </w:instrText>
    </w:r>
    <w:r>
      <w:fldChar w:fldCharType="separate"/>
    </w:r>
    <w:r>
      <w:rPr>
        <w:noProof/>
      </w:rPr>
      <w:t>14</w:t>
    </w:r>
    <w:r>
      <w:fldChar w:fldCharType="end"/>
    </w:r>
    <w:r>
      <w:t xml:space="preserve"> </w:t>
    </w:r>
  </w:p>
  <w:p w14:paraId="0AA28FBE" w14:textId="77777777" w:rsidR="00C94C2E" w:rsidRDefault="00C94C2E">
    <w:pPr>
      <w:pStyle w:val="Footer"/>
    </w:pPr>
  </w:p>
  <w:p w14:paraId="19713262" w14:textId="7510D7C3" w:rsidR="00C94C2E" w:rsidRPr="00C94C2E" w:rsidRDefault="0041005E" w:rsidP="0041005E">
    <w:pPr>
      <w:pStyle w:val="Footer"/>
      <w:tabs>
        <w:tab w:val="clear" w:pos="4153"/>
        <w:tab w:val="clear" w:pos="8306"/>
        <w:tab w:val="center" w:pos="3402"/>
        <w:tab w:val="right" w:pos="8931"/>
      </w:tabs>
      <w:rPr>
        <w:b/>
        <w:sz w:val="18"/>
        <w:szCs w:val="22"/>
      </w:rPr>
    </w:pPr>
    <w:r w:rsidRPr="00627A34">
      <w:rPr>
        <w:b/>
        <w:sz w:val="18"/>
        <w:szCs w:val="22"/>
      </w:rPr>
      <w:t>Version 1.1</w:t>
    </w:r>
    <w:r>
      <w:rPr>
        <w:b/>
        <w:sz w:val="18"/>
        <w:szCs w:val="22"/>
      </w:rPr>
      <w:t>/June 2023</w:t>
    </w:r>
    <w:r w:rsidRPr="00627A34">
      <w:rPr>
        <w:b/>
        <w:sz w:val="18"/>
        <w:szCs w:val="22"/>
      </w:rPr>
      <w:tab/>
    </w:r>
    <w:r>
      <w:rPr>
        <w:b/>
        <w:sz w:val="18"/>
        <w:szCs w:val="22"/>
      </w:rPr>
      <w:tab/>
    </w:r>
    <w:r w:rsidRPr="00627A34">
      <w:rPr>
        <w:b/>
        <w:sz w:val="18"/>
        <w:szCs w:val="22"/>
      </w:rPr>
      <w:t xml:space="preserve">Copyright © 2023 by </w:t>
    </w:r>
    <w:r>
      <w:rPr>
        <w:b/>
        <w:sz w:val="18"/>
        <w:szCs w:val="22"/>
      </w:rPr>
      <w:t>European Federation of Energy Traders (“EFET”)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3659" w14:textId="77777777" w:rsidR="00231DC8" w:rsidRDefault="00231DC8">
    <w:pPr>
      <w:pStyle w:val="Footer"/>
      <w:jc w:val="center"/>
    </w:pPr>
    <w:r>
      <w:fldChar w:fldCharType="begin"/>
    </w:r>
    <w:r>
      <w:instrText xml:space="preserve"> PAGE  \* Arabic  \* MERGEFORMAT </w:instrText>
    </w:r>
    <w:r>
      <w:fldChar w:fldCharType="separate"/>
    </w:r>
    <w:r>
      <w:rPr>
        <w:noProof/>
      </w:rPr>
      <w:t>14</w:t>
    </w:r>
    <w:r>
      <w:fldChar w:fldCharType="end"/>
    </w:r>
    <w:r>
      <w:t xml:space="preserve"> </w:t>
    </w:r>
  </w:p>
  <w:p w14:paraId="0CCFE0AF" w14:textId="77777777" w:rsidR="00231DC8" w:rsidRDefault="00231DC8">
    <w:pPr>
      <w:pStyle w:val="Footer"/>
    </w:pPr>
  </w:p>
  <w:p w14:paraId="1DEB3FDD" w14:textId="77777777" w:rsidR="00231DC8" w:rsidRPr="00C94C2E" w:rsidRDefault="00231DC8" w:rsidP="0041005E">
    <w:pPr>
      <w:pStyle w:val="Footer"/>
      <w:tabs>
        <w:tab w:val="clear" w:pos="4153"/>
        <w:tab w:val="clear" w:pos="8306"/>
        <w:tab w:val="center" w:pos="3402"/>
        <w:tab w:val="right" w:pos="8931"/>
      </w:tabs>
      <w:rPr>
        <w:b/>
        <w:sz w:val="18"/>
        <w:szCs w:val="22"/>
      </w:rPr>
    </w:pPr>
    <w:r w:rsidRPr="00627A34">
      <w:rPr>
        <w:b/>
        <w:sz w:val="18"/>
        <w:szCs w:val="22"/>
      </w:rPr>
      <w:t>Version 1.1</w:t>
    </w:r>
    <w:r>
      <w:rPr>
        <w:b/>
        <w:sz w:val="18"/>
        <w:szCs w:val="22"/>
      </w:rPr>
      <w:t>/June 2023</w:t>
    </w:r>
    <w:r w:rsidRPr="00627A34">
      <w:rPr>
        <w:b/>
        <w:sz w:val="18"/>
        <w:szCs w:val="22"/>
      </w:rPr>
      <w:tab/>
    </w:r>
    <w:r>
      <w:rPr>
        <w:b/>
        <w:sz w:val="18"/>
        <w:szCs w:val="22"/>
      </w:rPr>
      <w:tab/>
    </w:r>
    <w:r w:rsidRPr="00627A34">
      <w:rPr>
        <w:b/>
        <w:sz w:val="18"/>
        <w:szCs w:val="22"/>
      </w:rPr>
      <w:t xml:space="preserve">Copyright © 2023 by </w:t>
    </w:r>
    <w:r>
      <w:rPr>
        <w:b/>
        <w:sz w:val="18"/>
        <w:szCs w:val="22"/>
      </w:rPr>
      <w:t>European Federation of Energy Traders (“EFET”)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96CA" w14:textId="24EE65E2" w:rsidR="00C94C2E" w:rsidRDefault="00231DC8">
    <w:pPr>
      <w:pStyle w:val="Footer"/>
      <w:jc w:val="center"/>
    </w:pPr>
    <w:r>
      <w:t>APPENDIX 1</w:t>
    </w:r>
    <w:r w:rsidR="00DB788F">
      <w:t xml:space="preserve"> -</w:t>
    </w:r>
    <w:r w:rsidR="00C94C2E">
      <w:t xml:space="preserve"> </w:t>
    </w:r>
    <w:r>
      <w:t>2</w:t>
    </w:r>
    <w:r w:rsidR="00C94C2E">
      <w:t xml:space="preserve"> </w:t>
    </w:r>
  </w:p>
  <w:p w14:paraId="4C62ACF5" w14:textId="77777777" w:rsidR="00C94C2E" w:rsidRDefault="00C94C2E">
    <w:pPr>
      <w:pStyle w:val="Footer"/>
    </w:pPr>
  </w:p>
  <w:p w14:paraId="00920A3A" w14:textId="0EB6DCE1" w:rsidR="00C94C2E" w:rsidRPr="00C94C2E" w:rsidRDefault="0041005E" w:rsidP="0041005E">
    <w:pPr>
      <w:pStyle w:val="Footer"/>
      <w:tabs>
        <w:tab w:val="clear" w:pos="4153"/>
        <w:tab w:val="clear" w:pos="8306"/>
        <w:tab w:val="center" w:pos="3402"/>
        <w:tab w:val="right" w:pos="8931"/>
      </w:tabs>
      <w:rPr>
        <w:b/>
        <w:sz w:val="18"/>
        <w:szCs w:val="22"/>
      </w:rPr>
    </w:pPr>
    <w:r w:rsidRPr="00627A34">
      <w:rPr>
        <w:b/>
        <w:sz w:val="18"/>
        <w:szCs w:val="22"/>
      </w:rPr>
      <w:t>Version 1.1</w:t>
    </w:r>
    <w:r>
      <w:rPr>
        <w:b/>
        <w:sz w:val="18"/>
        <w:szCs w:val="22"/>
      </w:rPr>
      <w:t>/June 2023</w:t>
    </w:r>
    <w:r w:rsidRPr="00627A34">
      <w:rPr>
        <w:b/>
        <w:sz w:val="18"/>
        <w:szCs w:val="22"/>
      </w:rPr>
      <w:tab/>
    </w:r>
    <w:r>
      <w:rPr>
        <w:b/>
        <w:sz w:val="18"/>
        <w:szCs w:val="22"/>
      </w:rPr>
      <w:tab/>
    </w:r>
    <w:r w:rsidRPr="00627A34">
      <w:rPr>
        <w:b/>
        <w:sz w:val="18"/>
        <w:szCs w:val="22"/>
      </w:rPr>
      <w:t xml:space="preserve">Copyright © 2023 by </w:t>
    </w:r>
    <w:r>
      <w:rPr>
        <w:b/>
        <w:sz w:val="18"/>
        <w:szCs w:val="22"/>
      </w:rPr>
      <w:t>European Federation of Energy Traders (“EFET”)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3621" w14:textId="3645D2A0" w:rsidR="00231DC8" w:rsidRDefault="00231DC8">
    <w:pPr>
      <w:pStyle w:val="Footer"/>
      <w:jc w:val="center"/>
    </w:pPr>
    <w:r>
      <w:t xml:space="preserve">APPENDIX 3 - </w:t>
    </w:r>
    <w:r>
      <w:fldChar w:fldCharType="begin"/>
    </w:r>
    <w:r>
      <w:instrText xml:space="preserve"> PAGE  \* Arabic  \* MERGEFORMAT </w:instrText>
    </w:r>
    <w:r>
      <w:fldChar w:fldCharType="separate"/>
    </w:r>
    <w:r>
      <w:t>19</w:t>
    </w:r>
    <w:r>
      <w:fldChar w:fldCharType="end"/>
    </w:r>
  </w:p>
  <w:p w14:paraId="059280FC" w14:textId="77777777" w:rsidR="00231DC8" w:rsidRDefault="00231DC8">
    <w:pPr>
      <w:pStyle w:val="Footer"/>
    </w:pPr>
  </w:p>
  <w:p w14:paraId="606AF3B9" w14:textId="77777777" w:rsidR="00231DC8" w:rsidRPr="00C94C2E" w:rsidRDefault="00231DC8" w:rsidP="0041005E">
    <w:pPr>
      <w:pStyle w:val="Footer"/>
      <w:tabs>
        <w:tab w:val="clear" w:pos="4153"/>
        <w:tab w:val="clear" w:pos="8306"/>
        <w:tab w:val="center" w:pos="3402"/>
        <w:tab w:val="right" w:pos="8931"/>
      </w:tabs>
      <w:rPr>
        <w:b/>
        <w:sz w:val="18"/>
        <w:szCs w:val="22"/>
      </w:rPr>
    </w:pPr>
    <w:r w:rsidRPr="00627A34">
      <w:rPr>
        <w:b/>
        <w:sz w:val="18"/>
        <w:szCs w:val="22"/>
      </w:rPr>
      <w:t>Version 1.1</w:t>
    </w:r>
    <w:r>
      <w:rPr>
        <w:b/>
        <w:sz w:val="18"/>
        <w:szCs w:val="22"/>
      </w:rPr>
      <w:t>/June 2023</w:t>
    </w:r>
    <w:r w:rsidRPr="00627A34">
      <w:rPr>
        <w:b/>
        <w:sz w:val="18"/>
        <w:szCs w:val="22"/>
      </w:rPr>
      <w:tab/>
    </w:r>
    <w:r>
      <w:rPr>
        <w:b/>
        <w:sz w:val="18"/>
        <w:szCs w:val="22"/>
      </w:rPr>
      <w:tab/>
    </w:r>
    <w:r w:rsidRPr="00627A34">
      <w:rPr>
        <w:b/>
        <w:sz w:val="18"/>
        <w:szCs w:val="22"/>
      </w:rPr>
      <w:t xml:space="preserve">Copyright © 2023 by </w:t>
    </w:r>
    <w:r>
      <w:rPr>
        <w:b/>
        <w:sz w:val="18"/>
        <w:szCs w:val="22"/>
      </w:rPr>
      <w:t>European Federation of Energy Traders (“EFET”)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6CCB" w14:textId="462E7FCF" w:rsidR="005467B1" w:rsidRDefault="00370758">
    <w:pPr>
      <w:pStyle w:val="Footer"/>
      <w:jc w:val="center"/>
    </w:pPr>
    <w:r>
      <w:t>APPENDIX 4</w:t>
    </w:r>
    <w:r w:rsidR="000F3491">
      <w:t xml:space="preserve"> </w:t>
    </w:r>
    <w:r w:rsidR="005467B1">
      <w:t xml:space="preserve">- </w:t>
    </w:r>
    <w:r w:rsidR="005467B1">
      <w:fldChar w:fldCharType="begin"/>
    </w:r>
    <w:r w:rsidR="005467B1">
      <w:instrText xml:space="preserve"> PAGE  \* Arabic  \* MERGEFORMAT </w:instrText>
    </w:r>
    <w:r w:rsidR="005467B1">
      <w:fldChar w:fldCharType="separate"/>
    </w:r>
    <w:r w:rsidR="005467B1">
      <w:rPr>
        <w:noProof/>
      </w:rPr>
      <w:t>1</w:t>
    </w:r>
    <w:r w:rsidR="005467B1">
      <w:fldChar w:fldCharType="end"/>
    </w:r>
    <w:r w:rsidR="005467B1">
      <w:t xml:space="preserve"> </w:t>
    </w:r>
  </w:p>
  <w:p w14:paraId="51CD6543" w14:textId="77777777" w:rsidR="005467B1" w:rsidRDefault="005467B1">
    <w:pPr>
      <w:pStyle w:val="Footer"/>
    </w:pPr>
  </w:p>
  <w:p w14:paraId="4FB29A0C" w14:textId="36F56727" w:rsidR="005467B1" w:rsidRPr="00C94C2E" w:rsidRDefault="0041005E" w:rsidP="0041005E">
    <w:pPr>
      <w:pStyle w:val="Footer"/>
      <w:tabs>
        <w:tab w:val="clear" w:pos="4153"/>
        <w:tab w:val="clear" w:pos="8306"/>
        <w:tab w:val="center" w:pos="3402"/>
        <w:tab w:val="right" w:pos="8931"/>
      </w:tabs>
      <w:rPr>
        <w:b/>
        <w:sz w:val="18"/>
        <w:szCs w:val="22"/>
      </w:rPr>
    </w:pPr>
    <w:r w:rsidRPr="00627A34">
      <w:rPr>
        <w:b/>
        <w:sz w:val="18"/>
        <w:szCs w:val="22"/>
      </w:rPr>
      <w:t>Version 1.1</w:t>
    </w:r>
    <w:r>
      <w:rPr>
        <w:b/>
        <w:sz w:val="18"/>
        <w:szCs w:val="22"/>
      </w:rPr>
      <w:t>/June 2023</w:t>
    </w:r>
    <w:r w:rsidRPr="00627A34">
      <w:rPr>
        <w:b/>
        <w:sz w:val="18"/>
        <w:szCs w:val="22"/>
      </w:rPr>
      <w:tab/>
    </w:r>
    <w:r>
      <w:rPr>
        <w:b/>
        <w:sz w:val="18"/>
        <w:szCs w:val="22"/>
      </w:rPr>
      <w:tab/>
    </w:r>
    <w:r w:rsidRPr="00627A34">
      <w:rPr>
        <w:b/>
        <w:sz w:val="18"/>
        <w:szCs w:val="22"/>
      </w:rPr>
      <w:t xml:space="preserve">Copyright © 2023 by </w:t>
    </w:r>
    <w:r>
      <w:rPr>
        <w:b/>
        <w:sz w:val="18"/>
        <w:szCs w:val="22"/>
      </w:rPr>
      <w:t>European Federation of Energy Traders (“EFET”)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EF23" w14:textId="77777777" w:rsidR="00B05ECA" w:rsidRDefault="00B05ECA">
      <w:r>
        <w:separator/>
      </w:r>
    </w:p>
  </w:footnote>
  <w:footnote w:type="continuationSeparator" w:id="0">
    <w:p w14:paraId="25B2605A" w14:textId="77777777" w:rsidR="00B05ECA" w:rsidRDefault="00B05ECA">
      <w:r>
        <w:continuationSeparator/>
      </w:r>
    </w:p>
  </w:footnote>
  <w:footnote w:type="continuationNotice" w:id="1">
    <w:p w14:paraId="424DA684" w14:textId="77777777" w:rsidR="00B05ECA" w:rsidRDefault="00B05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A6FF" w14:textId="44751B76" w:rsidR="006C25D2" w:rsidRDefault="006C25D2" w:rsidP="006C25D2">
    <w:pPr>
      <w:pStyle w:val="Header"/>
      <w:jc w:val="right"/>
      <w:rPr>
        <w:b/>
      </w:rPr>
    </w:pPr>
    <w:r w:rsidRPr="00627A34">
      <w:rPr>
        <w:b/>
      </w:rPr>
      <w:t>Version 1.1/</w:t>
    </w:r>
    <w:r w:rsidR="00DB788F">
      <w:rPr>
        <w:b/>
      </w:rPr>
      <w:t>June</w:t>
    </w:r>
    <w:r w:rsidR="00666734" w:rsidRPr="00627A34">
      <w:rPr>
        <w:b/>
      </w:rPr>
      <w:t xml:space="preserve"> 2023</w:t>
    </w:r>
  </w:p>
  <w:p w14:paraId="748AE9B3" w14:textId="6781099C" w:rsidR="00C94C2E" w:rsidRPr="006C25D2" w:rsidRDefault="00C94C2E" w:rsidP="006C2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09B" w14:textId="68C0B510" w:rsidR="00C94C2E" w:rsidRDefault="00C94C2E">
    <w:pPr>
      <w:pStyle w:val="Header"/>
      <w:jc w:val="right"/>
      <w:rPr>
        <w:b/>
      </w:rPr>
    </w:pPr>
    <w:r w:rsidRPr="00627A34">
      <w:rPr>
        <w:b/>
      </w:rPr>
      <w:t>Version 1.1/</w:t>
    </w:r>
    <w:r w:rsidR="00DB788F">
      <w:rPr>
        <w:b/>
      </w:rPr>
      <w:t>June</w:t>
    </w:r>
    <w:r w:rsidR="00634656" w:rsidRPr="00627A34">
      <w:rPr>
        <w:b/>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A08F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0222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8CF6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CE36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5C88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5265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2E53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2891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8A1460"/>
    <w:lvl w:ilvl="0">
      <w:start w:val="1"/>
      <w:numFmt w:val="decimal"/>
      <w:pStyle w:val="ListNumber"/>
      <w:lvlText w:val="%1."/>
      <w:lvlJc w:val="left"/>
      <w:pPr>
        <w:tabs>
          <w:tab w:val="num" w:pos="360"/>
        </w:tabs>
        <w:ind w:left="360" w:hanging="360"/>
      </w:pPr>
    </w:lvl>
  </w:abstractNum>
  <w:abstractNum w:abstractNumId="9" w15:restartNumberingAfterBreak="0">
    <w:nsid w:val="04723DB5"/>
    <w:multiLevelType w:val="multilevel"/>
    <w:tmpl w:val="AE14A288"/>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10"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65E26E9"/>
    <w:multiLevelType w:val="hybridMultilevel"/>
    <w:tmpl w:val="26F28C50"/>
    <w:lvl w:ilvl="0" w:tplc="E8F83A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960C8"/>
    <w:multiLevelType w:val="multilevel"/>
    <w:tmpl w:val="5AACF362"/>
    <w:name w:val="Plato Schedule Numbering List"/>
    <w:lvl w:ilvl="0">
      <w:start w:val="1"/>
      <w:numFmt w:val="decimal"/>
      <w:pStyle w:val="ScheduleL1"/>
      <w:lvlText w:val="%1"/>
      <w:lvlJc w:val="left"/>
      <w:pPr>
        <w:tabs>
          <w:tab w:val="num" w:pos="720"/>
        </w:tabs>
        <w:ind w:left="720" w:hanging="720"/>
      </w:pPr>
      <w:rPr>
        <w:rFonts w:ascii="Times New Roman" w:hAnsi="Times New Roman" w:hint="default"/>
        <w:b/>
        <w:i w:val="0"/>
        <w:caps w:val="0"/>
        <w:sz w:val="20"/>
        <w:effect w:val="none"/>
      </w:rPr>
    </w:lvl>
    <w:lvl w:ilvl="1">
      <w:start w:val="1"/>
      <w:numFmt w:val="lowerLetter"/>
      <w:pStyle w:val="ScheduleL2"/>
      <w:lvlText w:val="(%2)"/>
      <w:lvlJc w:val="left"/>
      <w:pPr>
        <w:tabs>
          <w:tab w:val="num" w:pos="1440"/>
        </w:tabs>
        <w:ind w:left="1440" w:hanging="720"/>
      </w:pPr>
      <w:rPr>
        <w:rFonts w:hint="default"/>
        <w:b w:val="0"/>
        <w:bCs w:val="0"/>
        <w:caps w:val="0"/>
        <w:sz w:val="20"/>
        <w:szCs w:val="20"/>
        <w:effect w:val="none"/>
      </w:rPr>
    </w:lvl>
    <w:lvl w:ilvl="2">
      <w:start w:val="1"/>
      <w:numFmt w:val="lowerRoman"/>
      <w:pStyle w:val="ScheduleL3"/>
      <w:lvlText w:val="(%3)"/>
      <w:lvlJc w:val="left"/>
      <w:pPr>
        <w:tabs>
          <w:tab w:val="num" w:pos="2160"/>
        </w:tabs>
        <w:ind w:left="2160" w:hanging="720"/>
      </w:pPr>
      <w:rPr>
        <w:rFonts w:hint="default"/>
        <w:b w:val="0"/>
        <w:bCs w:val="0"/>
        <w:caps w:val="0"/>
        <w:sz w:val="20"/>
        <w:szCs w:val="20"/>
        <w:effect w:val="none"/>
      </w:rPr>
    </w:lvl>
    <w:lvl w:ilvl="3">
      <w:start w:val="1"/>
      <w:numFmt w:val="upperLetter"/>
      <w:pStyle w:val="ScheduleL4"/>
      <w:lvlText w:val="(%4)"/>
      <w:lvlJc w:val="left"/>
      <w:pPr>
        <w:tabs>
          <w:tab w:val="num" w:pos="2880"/>
        </w:tabs>
        <w:ind w:left="2880" w:hanging="720"/>
      </w:pPr>
      <w:rPr>
        <w:rFonts w:hint="default"/>
        <w:caps w:val="0"/>
        <w:effect w:val="none"/>
      </w:rPr>
    </w:lvl>
    <w:lvl w:ilvl="4">
      <w:start w:val="1"/>
      <w:numFmt w:val="decimal"/>
      <w:pStyle w:val="ScheduleL5"/>
      <w:lvlText w:val="(%5)"/>
      <w:lvlJc w:val="left"/>
      <w:pPr>
        <w:tabs>
          <w:tab w:val="num" w:pos="3600"/>
        </w:tabs>
        <w:ind w:left="3600" w:hanging="720"/>
      </w:pPr>
      <w:rPr>
        <w:rFonts w:hint="default"/>
        <w:caps w:val="0"/>
        <w:effect w:val="none"/>
      </w:rPr>
    </w:lvl>
    <w:lvl w:ilvl="5">
      <w:start w:val="1"/>
      <w:numFmt w:val="lowerLetter"/>
      <w:pStyle w:val="ScheduleL6"/>
      <w:lvlText w:val="(%6)"/>
      <w:lvlJc w:val="left"/>
      <w:pPr>
        <w:tabs>
          <w:tab w:val="num" w:pos="4320"/>
        </w:tabs>
        <w:ind w:left="4320" w:hanging="720"/>
      </w:pPr>
      <w:rPr>
        <w:rFonts w:hint="default"/>
        <w:caps w:val="0"/>
        <w:effect w:val="none"/>
      </w:rPr>
    </w:lvl>
    <w:lvl w:ilvl="6">
      <w:start w:val="1"/>
      <w:numFmt w:val="lowerRoman"/>
      <w:pStyle w:val="ScheduleL7"/>
      <w:lvlText w:val="(%7)"/>
      <w:lvlJc w:val="left"/>
      <w:pPr>
        <w:tabs>
          <w:tab w:val="num" w:pos="5040"/>
        </w:tabs>
        <w:ind w:left="5040" w:hanging="720"/>
      </w:pPr>
      <w:rPr>
        <w:rFonts w:hint="default"/>
        <w:caps w:val="0"/>
        <w:effect w:val="none"/>
      </w:rPr>
    </w:lvl>
    <w:lvl w:ilvl="7">
      <w:start w:val="1"/>
      <w:numFmt w:val="upperLetter"/>
      <w:pStyle w:val="ScheduleL8"/>
      <w:lvlText w:val="(%8)"/>
      <w:lvlJc w:val="left"/>
      <w:pPr>
        <w:tabs>
          <w:tab w:val="num" w:pos="5760"/>
        </w:tabs>
        <w:ind w:left="5760" w:hanging="720"/>
      </w:pPr>
      <w:rPr>
        <w:rFonts w:hint="default"/>
        <w:caps w:val="0"/>
        <w:effect w:val="none"/>
      </w:rPr>
    </w:lvl>
    <w:lvl w:ilvl="8">
      <w:start w:val="1"/>
      <w:numFmt w:val="upperRoman"/>
      <w:pStyle w:val="ScheduleL9"/>
      <w:lvlText w:val="(%9)"/>
      <w:lvlJc w:val="left"/>
      <w:pPr>
        <w:tabs>
          <w:tab w:val="num" w:pos="6480"/>
        </w:tabs>
        <w:ind w:left="6480" w:hanging="720"/>
      </w:pPr>
      <w:rPr>
        <w:rFonts w:hint="default"/>
        <w:caps w:val="0"/>
        <w:effect w:val="none"/>
      </w:rPr>
    </w:lvl>
  </w:abstractNum>
  <w:abstractNum w:abstractNumId="13" w15:restartNumberingAfterBreak="0">
    <w:nsid w:val="2EE67B6F"/>
    <w:multiLevelType w:val="multilevel"/>
    <w:tmpl w:val="3AF67DE6"/>
    <w:name w:val="Appendicies Heading List"/>
    <w:lvl w:ilvl="0">
      <w:start w:val="1"/>
      <w:numFmt w:val="decimal"/>
      <w:pStyle w:val="AppHead"/>
      <w:suff w:val="space"/>
      <w:lvlText w:val="APPENDIX %1"/>
      <w:lvlJc w:val="left"/>
      <w:pPr>
        <w:ind w:left="0" w:firstLine="0"/>
      </w:pPr>
      <w:rPr>
        <w:rFonts w:hint="default"/>
        <w:caps w:val="0"/>
        <w:effect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4" w15:restartNumberingAfterBreak="0">
    <w:nsid w:val="31857398"/>
    <w:multiLevelType w:val="multilevel"/>
    <w:tmpl w:val="80A482EA"/>
    <w:lvl w:ilvl="0">
      <w:start w:val="1"/>
      <w:numFmt w:val="decimal"/>
      <w:pStyle w:val="EFETLevel1"/>
      <w:suff w:val="nothing"/>
      <w:lvlText w:val="§ %1."/>
      <w:lvlJc w:val="left"/>
      <w:pPr>
        <w:ind w:left="531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EFETLevel2"/>
      <w:lvlText w:val="%2."/>
      <w:lvlJc w:val="left"/>
      <w:pPr>
        <w:ind w:left="450" w:hanging="360"/>
      </w:pPr>
      <w:rPr>
        <w:rFonts w:hint="default"/>
        <w:b/>
        <w:i w:val="0"/>
      </w:rPr>
    </w:lvl>
    <w:lvl w:ilvl="2">
      <w:start w:val="1"/>
      <w:numFmt w:val="lowerLetter"/>
      <w:pStyle w:val="EFETLevel3"/>
      <w:lvlText w:val="(%3)"/>
      <w:lvlJc w:val="left"/>
      <w:pPr>
        <w:ind w:left="1440" w:hanging="360"/>
      </w:pPr>
      <w:rPr>
        <w:rFonts w:hint="default"/>
        <w:b w:val="0"/>
        <w:i w:val="0"/>
      </w:rPr>
    </w:lvl>
    <w:lvl w:ilvl="3">
      <w:start w:val="1"/>
      <w:numFmt w:val="lowerRoman"/>
      <w:pStyle w:val="EFETLevel4"/>
      <w:lvlText w:val="(%4)"/>
      <w:lvlJc w:val="left"/>
      <w:pPr>
        <w:ind w:left="1440" w:hanging="360"/>
      </w:pPr>
      <w:rPr>
        <w:rFonts w:hint="default"/>
        <w:i w:val="0"/>
      </w:rPr>
    </w:lvl>
    <w:lvl w:ilvl="4">
      <w:start w:val="1"/>
      <w:numFmt w:val="upperRoman"/>
      <w:pStyle w:val="EFETLevel5"/>
      <w:lvlText w:val="(%5)"/>
      <w:lvlJc w:val="left"/>
      <w:pPr>
        <w:ind w:left="1800" w:hanging="360"/>
      </w:pPr>
      <w:rPr>
        <w:rFonts w:hint="default"/>
        <w:i w:val="0"/>
      </w:rPr>
    </w:lvl>
    <w:lvl w:ilvl="5">
      <w:start w:val="1"/>
      <w:numFmt w:val="lowerLetter"/>
      <w:pStyle w:val="EFET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376A8D"/>
    <w:multiLevelType w:val="multilevel"/>
    <w:tmpl w:val="28A827A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1200365"/>
    <w:multiLevelType w:val="multilevel"/>
    <w:tmpl w:val="A46A1644"/>
    <w:name w:val="Plato Heading List"/>
    <w:lvl w:ilvl="0">
      <w:start w:val="1"/>
      <w:numFmt w:val="decimal"/>
      <w:pStyle w:val="Heading1"/>
      <w:suff w:val="nothing"/>
      <w:lvlText w:val="§ %1."/>
      <w:lvlJc w:val="left"/>
      <w:pPr>
        <w:ind w:left="4590" w:firstLine="0"/>
      </w:pPr>
      <w:rPr>
        <w:rFonts w:hint="default"/>
        <w:caps w:val="0"/>
        <w:effect w:val="none"/>
      </w:rPr>
    </w:lvl>
    <w:lvl w:ilvl="1">
      <w:start w:val="4"/>
      <w:numFmt w:val="decimal"/>
      <w:pStyle w:val="Heading2"/>
      <w:lvlText w:val="%2"/>
      <w:lvlJc w:val="left"/>
      <w:pPr>
        <w:tabs>
          <w:tab w:val="num" w:pos="720"/>
        </w:tabs>
        <w:ind w:left="720" w:hanging="720"/>
      </w:pPr>
      <w:rPr>
        <w:rFonts w:hint="default"/>
        <w:b/>
        <w:caps w:val="0"/>
        <w:effect w:val="none"/>
      </w:rPr>
    </w:lvl>
    <w:lvl w:ilvl="2">
      <w:start w:val="1"/>
      <w:numFmt w:val="lowerLetter"/>
      <w:pStyle w:val="Heading3"/>
      <w:lvlText w:val="(%3)"/>
      <w:lvlJc w:val="left"/>
      <w:pPr>
        <w:tabs>
          <w:tab w:val="num" w:pos="1440"/>
        </w:tabs>
        <w:ind w:left="1440" w:hanging="720"/>
      </w:pPr>
      <w:rPr>
        <w:rFonts w:hint="default"/>
        <w:b w:val="0"/>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low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lowerRoman"/>
      <w:pStyle w:val="Heading8"/>
      <w:lvlText w:val="(%8)"/>
      <w:lvlJc w:val="left"/>
      <w:pPr>
        <w:tabs>
          <w:tab w:val="num" w:pos="5040"/>
        </w:tabs>
        <w:ind w:left="5040" w:hanging="720"/>
      </w:pPr>
      <w:rPr>
        <w:rFonts w:hint="default"/>
        <w:caps w:val="0"/>
        <w:effect w:val="none"/>
      </w:rPr>
    </w:lvl>
    <w:lvl w:ilvl="8">
      <w:start w:val="1"/>
      <w:numFmt w:val="upperLetter"/>
      <w:pStyle w:val="Heading9"/>
      <w:lvlText w:val="(%9)"/>
      <w:lvlJc w:val="left"/>
      <w:pPr>
        <w:tabs>
          <w:tab w:val="num" w:pos="5760"/>
        </w:tabs>
        <w:ind w:left="5760" w:hanging="720"/>
      </w:pPr>
      <w:rPr>
        <w:rFonts w:hint="default"/>
        <w:caps w:val="0"/>
        <w:effect w:val="none"/>
      </w:rPr>
    </w:lvl>
  </w:abstractNum>
  <w:abstractNum w:abstractNumId="17" w15:restartNumberingAfterBreak="0">
    <w:nsid w:val="556B4029"/>
    <w:multiLevelType w:val="hybridMultilevel"/>
    <w:tmpl w:val="26F28C50"/>
    <w:lvl w:ilvl="0" w:tplc="E8F83A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D1624"/>
    <w:multiLevelType w:val="hybridMultilevel"/>
    <w:tmpl w:val="A8C40612"/>
    <w:lvl w:ilvl="0" w:tplc="E8F83A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76B01C">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17FAE"/>
    <w:multiLevelType w:val="hybridMultilevel"/>
    <w:tmpl w:val="8966B370"/>
    <w:lvl w:ilvl="0" w:tplc="E8F83A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C6499F"/>
    <w:multiLevelType w:val="multilevel"/>
    <w:tmpl w:val="40A2F96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15:restartNumberingAfterBreak="0">
    <w:nsid w:val="717A1588"/>
    <w:multiLevelType w:val="multilevel"/>
    <w:tmpl w:val="EA14A094"/>
    <w:styleLink w:val="CurrentList1"/>
    <w:lvl w:ilvl="0">
      <w:start w:val="1"/>
      <w:numFmt w:val="decimal"/>
      <w:suff w:val="nothing"/>
      <w:lvlText w:val="§ %1."/>
      <w:lvlJc w:val="left"/>
      <w:pPr>
        <w:ind w:left="4590" w:firstLine="0"/>
      </w:pPr>
      <w:rPr>
        <w:rFonts w:hint="default"/>
        <w:caps w:val="0"/>
        <w:effect w:val="none"/>
      </w:rPr>
    </w:lvl>
    <w:lvl w:ilvl="1">
      <w:start w:val="1"/>
      <w:numFmt w:val="decimal"/>
      <w:lvlText w:val="%2"/>
      <w:lvlJc w:val="left"/>
      <w:pPr>
        <w:tabs>
          <w:tab w:val="num" w:pos="720"/>
        </w:tabs>
        <w:ind w:left="720" w:hanging="720"/>
      </w:pPr>
      <w:rPr>
        <w:rFonts w:hint="default"/>
        <w:b/>
        <w:caps w:val="0"/>
        <w:effect w:val="none"/>
      </w:rPr>
    </w:lvl>
    <w:lvl w:ilvl="2">
      <w:start w:val="1"/>
      <w:numFmt w:val="lowerLetter"/>
      <w:lvlText w:val="(%3)"/>
      <w:lvlJc w:val="left"/>
      <w:pPr>
        <w:tabs>
          <w:tab w:val="num" w:pos="1440"/>
        </w:tabs>
        <w:ind w:left="1440" w:hanging="720"/>
      </w:pPr>
      <w:rPr>
        <w:rFonts w:hint="default"/>
        <w:b w:val="0"/>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low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lowerRoman"/>
      <w:lvlText w:val="(%8)"/>
      <w:lvlJc w:val="left"/>
      <w:pPr>
        <w:tabs>
          <w:tab w:val="num" w:pos="5040"/>
        </w:tabs>
        <w:ind w:left="5040" w:hanging="720"/>
      </w:pPr>
      <w:rPr>
        <w:rFonts w:hint="default"/>
        <w:caps w:val="0"/>
        <w:effect w:val="none"/>
      </w:rPr>
    </w:lvl>
    <w:lvl w:ilvl="8">
      <w:start w:val="1"/>
      <w:numFmt w:val="upperLetter"/>
      <w:lvlText w:val="(%9)"/>
      <w:lvlJc w:val="left"/>
      <w:pPr>
        <w:tabs>
          <w:tab w:val="num" w:pos="5760"/>
        </w:tabs>
        <w:ind w:left="5760" w:hanging="720"/>
      </w:pPr>
      <w:rPr>
        <w:rFonts w:hint="default"/>
        <w:caps w:val="0"/>
        <w:effect w:val="none"/>
      </w:rPr>
    </w:lvl>
  </w:abstractNum>
  <w:num w:numId="1" w16cid:durableId="470175890">
    <w:abstractNumId w:val="10"/>
  </w:num>
  <w:num w:numId="2" w16cid:durableId="1569878954">
    <w:abstractNumId w:val="16"/>
  </w:num>
  <w:num w:numId="3" w16cid:durableId="1913735681">
    <w:abstractNumId w:val="12"/>
  </w:num>
  <w:num w:numId="4" w16cid:durableId="1034966712">
    <w:abstractNumId w:val="13"/>
  </w:num>
  <w:num w:numId="5" w16cid:durableId="2087415972">
    <w:abstractNumId w:val="9"/>
  </w:num>
  <w:num w:numId="6" w16cid:durableId="1500845531">
    <w:abstractNumId w:val="15"/>
  </w:num>
  <w:num w:numId="7" w16cid:durableId="356859053">
    <w:abstractNumId w:val="20"/>
  </w:num>
  <w:num w:numId="8" w16cid:durableId="809860603">
    <w:abstractNumId w:val="7"/>
  </w:num>
  <w:num w:numId="9" w16cid:durableId="1822228824">
    <w:abstractNumId w:val="6"/>
  </w:num>
  <w:num w:numId="10" w16cid:durableId="801508366">
    <w:abstractNumId w:val="5"/>
  </w:num>
  <w:num w:numId="11" w16cid:durableId="41558005">
    <w:abstractNumId w:val="4"/>
  </w:num>
  <w:num w:numId="12" w16cid:durableId="652952329">
    <w:abstractNumId w:val="8"/>
  </w:num>
  <w:num w:numId="13" w16cid:durableId="490633147">
    <w:abstractNumId w:val="3"/>
  </w:num>
  <w:num w:numId="14" w16cid:durableId="504517416">
    <w:abstractNumId w:val="2"/>
  </w:num>
  <w:num w:numId="15" w16cid:durableId="94791020">
    <w:abstractNumId w:val="1"/>
  </w:num>
  <w:num w:numId="16" w16cid:durableId="1752389378">
    <w:abstractNumId w:val="0"/>
  </w:num>
  <w:num w:numId="17" w16cid:durableId="542642936">
    <w:abstractNumId w:val="16"/>
    <w:lvlOverride w:ilvl="0">
      <w:startOverride w:val="13"/>
    </w:lvlOverride>
    <w:lvlOverride w:ilvl="1">
      <w:startOverride w:val="6"/>
    </w:lvlOverride>
    <w:lvlOverride w:ilvl="2">
      <w:startOverride w:val="2"/>
    </w:lvlOverride>
    <w:lvlOverride w:ilvl="3">
      <w:startOverride w:val="3"/>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8" w16cid:durableId="985279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2304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9187784">
    <w:abstractNumId w:val="14"/>
  </w:num>
  <w:num w:numId="21" w16cid:durableId="169830984">
    <w:abstractNumId w:val="17"/>
  </w:num>
  <w:num w:numId="22" w16cid:durableId="372460973">
    <w:abstractNumId w:val="18"/>
  </w:num>
  <w:num w:numId="23" w16cid:durableId="1470514684">
    <w:abstractNumId w:val="19"/>
  </w:num>
  <w:num w:numId="24" w16cid:durableId="2006279700">
    <w:abstractNumId w:val="11"/>
  </w:num>
  <w:num w:numId="25" w16cid:durableId="846291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3180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6116956">
    <w:abstractNumId w:val="21"/>
  </w:num>
  <w:num w:numId="28" w16cid:durableId="466242279">
    <w:abstractNumId w:val="12"/>
  </w:num>
  <w:num w:numId="29" w16cid:durableId="199132821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70"/>
    <w:rsid w:val="0000159B"/>
    <w:rsid w:val="0000259D"/>
    <w:rsid w:val="00004C23"/>
    <w:rsid w:val="0000674B"/>
    <w:rsid w:val="00006897"/>
    <w:rsid w:val="00010678"/>
    <w:rsid w:val="00010E4D"/>
    <w:rsid w:val="000120B2"/>
    <w:rsid w:val="00021A9C"/>
    <w:rsid w:val="00021AF9"/>
    <w:rsid w:val="000235A3"/>
    <w:rsid w:val="00024DD0"/>
    <w:rsid w:val="00025810"/>
    <w:rsid w:val="00030642"/>
    <w:rsid w:val="000309D5"/>
    <w:rsid w:val="000367FD"/>
    <w:rsid w:val="00044C08"/>
    <w:rsid w:val="0004705F"/>
    <w:rsid w:val="00050E4C"/>
    <w:rsid w:val="00051D96"/>
    <w:rsid w:val="000540C4"/>
    <w:rsid w:val="000568BD"/>
    <w:rsid w:val="0006771A"/>
    <w:rsid w:val="0007582A"/>
    <w:rsid w:val="00077818"/>
    <w:rsid w:val="00084B53"/>
    <w:rsid w:val="00085274"/>
    <w:rsid w:val="000873C2"/>
    <w:rsid w:val="00092077"/>
    <w:rsid w:val="00093969"/>
    <w:rsid w:val="00093B72"/>
    <w:rsid w:val="000957AF"/>
    <w:rsid w:val="0009741F"/>
    <w:rsid w:val="000A266C"/>
    <w:rsid w:val="000A31C0"/>
    <w:rsid w:val="000A3453"/>
    <w:rsid w:val="000A5615"/>
    <w:rsid w:val="000A73A8"/>
    <w:rsid w:val="000B0F88"/>
    <w:rsid w:val="000B1461"/>
    <w:rsid w:val="000B2A28"/>
    <w:rsid w:val="000B6C0B"/>
    <w:rsid w:val="000C1A3F"/>
    <w:rsid w:val="000C2034"/>
    <w:rsid w:val="000C20CD"/>
    <w:rsid w:val="000C2AEF"/>
    <w:rsid w:val="000C31DA"/>
    <w:rsid w:val="000C3C8F"/>
    <w:rsid w:val="000C62BB"/>
    <w:rsid w:val="000D0106"/>
    <w:rsid w:val="000D0128"/>
    <w:rsid w:val="000E29C7"/>
    <w:rsid w:val="000E2E65"/>
    <w:rsid w:val="000E6204"/>
    <w:rsid w:val="000E6677"/>
    <w:rsid w:val="000E6AE2"/>
    <w:rsid w:val="000F279F"/>
    <w:rsid w:val="000F2EC6"/>
    <w:rsid w:val="000F3491"/>
    <w:rsid w:val="000F5345"/>
    <w:rsid w:val="000F6A08"/>
    <w:rsid w:val="001000FD"/>
    <w:rsid w:val="0011029D"/>
    <w:rsid w:val="001136DB"/>
    <w:rsid w:val="00114B4D"/>
    <w:rsid w:val="001221A5"/>
    <w:rsid w:val="00123D83"/>
    <w:rsid w:val="0012587E"/>
    <w:rsid w:val="00130258"/>
    <w:rsid w:val="00134F86"/>
    <w:rsid w:val="0013527E"/>
    <w:rsid w:val="00135528"/>
    <w:rsid w:val="00136A9D"/>
    <w:rsid w:val="00142529"/>
    <w:rsid w:val="00142C2B"/>
    <w:rsid w:val="001430EA"/>
    <w:rsid w:val="001461A3"/>
    <w:rsid w:val="00147FF7"/>
    <w:rsid w:val="0015314F"/>
    <w:rsid w:val="0015523E"/>
    <w:rsid w:val="00156DAF"/>
    <w:rsid w:val="001632B5"/>
    <w:rsid w:val="00164C06"/>
    <w:rsid w:val="00172526"/>
    <w:rsid w:val="00175D00"/>
    <w:rsid w:val="00176E79"/>
    <w:rsid w:val="0017797C"/>
    <w:rsid w:val="00180543"/>
    <w:rsid w:val="00182A8D"/>
    <w:rsid w:val="00186535"/>
    <w:rsid w:val="00195886"/>
    <w:rsid w:val="00195EDF"/>
    <w:rsid w:val="001A14C2"/>
    <w:rsid w:val="001A392B"/>
    <w:rsid w:val="001A402C"/>
    <w:rsid w:val="001A5A35"/>
    <w:rsid w:val="001B3478"/>
    <w:rsid w:val="001B4A54"/>
    <w:rsid w:val="001B6598"/>
    <w:rsid w:val="001B694E"/>
    <w:rsid w:val="001B72AB"/>
    <w:rsid w:val="001B7D67"/>
    <w:rsid w:val="001C1A2A"/>
    <w:rsid w:val="001C200F"/>
    <w:rsid w:val="001D2C62"/>
    <w:rsid w:val="001D4A17"/>
    <w:rsid w:val="001D7436"/>
    <w:rsid w:val="001E162F"/>
    <w:rsid w:val="001E2F1E"/>
    <w:rsid w:val="001E3AEB"/>
    <w:rsid w:val="001E74D2"/>
    <w:rsid w:val="001F3268"/>
    <w:rsid w:val="001F5669"/>
    <w:rsid w:val="001F70BA"/>
    <w:rsid w:val="0020363C"/>
    <w:rsid w:val="0020469A"/>
    <w:rsid w:val="002050E0"/>
    <w:rsid w:val="00210967"/>
    <w:rsid w:val="002119C2"/>
    <w:rsid w:val="00214848"/>
    <w:rsid w:val="00215D77"/>
    <w:rsid w:val="002162D6"/>
    <w:rsid w:val="00217C39"/>
    <w:rsid w:val="00220E97"/>
    <w:rsid w:val="002217BF"/>
    <w:rsid w:val="00222894"/>
    <w:rsid w:val="002229F5"/>
    <w:rsid w:val="00227055"/>
    <w:rsid w:val="0023073A"/>
    <w:rsid w:val="00231DC8"/>
    <w:rsid w:val="002320D8"/>
    <w:rsid w:val="002338BA"/>
    <w:rsid w:val="00234724"/>
    <w:rsid w:val="00234A5C"/>
    <w:rsid w:val="00240190"/>
    <w:rsid w:val="00242B72"/>
    <w:rsid w:val="00243912"/>
    <w:rsid w:val="00245B06"/>
    <w:rsid w:val="00247B3E"/>
    <w:rsid w:val="00253AB7"/>
    <w:rsid w:val="00255E67"/>
    <w:rsid w:val="00256A85"/>
    <w:rsid w:val="00256ADA"/>
    <w:rsid w:val="002572EF"/>
    <w:rsid w:val="00260A35"/>
    <w:rsid w:val="00260EC8"/>
    <w:rsid w:val="00261928"/>
    <w:rsid w:val="00264C5B"/>
    <w:rsid w:val="00265550"/>
    <w:rsid w:val="00273B33"/>
    <w:rsid w:val="00276C13"/>
    <w:rsid w:val="00277864"/>
    <w:rsid w:val="00277A91"/>
    <w:rsid w:val="00277BDC"/>
    <w:rsid w:val="002803E1"/>
    <w:rsid w:val="002867C5"/>
    <w:rsid w:val="00286DEA"/>
    <w:rsid w:val="00287680"/>
    <w:rsid w:val="00290566"/>
    <w:rsid w:val="002930E1"/>
    <w:rsid w:val="002940FE"/>
    <w:rsid w:val="0029678F"/>
    <w:rsid w:val="00296CDC"/>
    <w:rsid w:val="00297025"/>
    <w:rsid w:val="002A0C73"/>
    <w:rsid w:val="002A103F"/>
    <w:rsid w:val="002A1993"/>
    <w:rsid w:val="002A324C"/>
    <w:rsid w:val="002B695E"/>
    <w:rsid w:val="002B76C2"/>
    <w:rsid w:val="002B7776"/>
    <w:rsid w:val="002B7BAC"/>
    <w:rsid w:val="002C1407"/>
    <w:rsid w:val="002C2844"/>
    <w:rsid w:val="002C3ECF"/>
    <w:rsid w:val="002C40C0"/>
    <w:rsid w:val="002C4770"/>
    <w:rsid w:val="002C58E6"/>
    <w:rsid w:val="002C7CF9"/>
    <w:rsid w:val="002D2E08"/>
    <w:rsid w:val="002D7B14"/>
    <w:rsid w:val="002E0B99"/>
    <w:rsid w:val="002E16E5"/>
    <w:rsid w:val="002E1753"/>
    <w:rsid w:val="002E2FF7"/>
    <w:rsid w:val="002E33BE"/>
    <w:rsid w:val="002E42BE"/>
    <w:rsid w:val="002E6BC0"/>
    <w:rsid w:val="002F494F"/>
    <w:rsid w:val="002F7EDA"/>
    <w:rsid w:val="00301AE3"/>
    <w:rsid w:val="00302E61"/>
    <w:rsid w:val="00304354"/>
    <w:rsid w:val="003108D8"/>
    <w:rsid w:val="003111E5"/>
    <w:rsid w:val="00311EDF"/>
    <w:rsid w:val="00313A61"/>
    <w:rsid w:val="00313EA1"/>
    <w:rsid w:val="00335158"/>
    <w:rsid w:val="00335B48"/>
    <w:rsid w:val="00336570"/>
    <w:rsid w:val="00340E86"/>
    <w:rsid w:val="003433B2"/>
    <w:rsid w:val="00344717"/>
    <w:rsid w:val="0034674C"/>
    <w:rsid w:val="003469B3"/>
    <w:rsid w:val="00351800"/>
    <w:rsid w:val="0035339E"/>
    <w:rsid w:val="00355E72"/>
    <w:rsid w:val="00356A6B"/>
    <w:rsid w:val="00370758"/>
    <w:rsid w:val="0037104E"/>
    <w:rsid w:val="00372EC6"/>
    <w:rsid w:val="003733AD"/>
    <w:rsid w:val="003741C4"/>
    <w:rsid w:val="0037456B"/>
    <w:rsid w:val="003752DC"/>
    <w:rsid w:val="0038088F"/>
    <w:rsid w:val="00380E12"/>
    <w:rsid w:val="003859FF"/>
    <w:rsid w:val="0038624C"/>
    <w:rsid w:val="0039110A"/>
    <w:rsid w:val="00393505"/>
    <w:rsid w:val="00395A36"/>
    <w:rsid w:val="00396595"/>
    <w:rsid w:val="003979FD"/>
    <w:rsid w:val="003A1EF0"/>
    <w:rsid w:val="003A2003"/>
    <w:rsid w:val="003A2DBB"/>
    <w:rsid w:val="003A5B17"/>
    <w:rsid w:val="003A6A8D"/>
    <w:rsid w:val="003B078A"/>
    <w:rsid w:val="003B6401"/>
    <w:rsid w:val="003C585D"/>
    <w:rsid w:val="003C6FC3"/>
    <w:rsid w:val="003D2112"/>
    <w:rsid w:val="003D231F"/>
    <w:rsid w:val="003D381F"/>
    <w:rsid w:val="003D7171"/>
    <w:rsid w:val="003E2BAC"/>
    <w:rsid w:val="003E384B"/>
    <w:rsid w:val="003E3EE4"/>
    <w:rsid w:val="003E5DC1"/>
    <w:rsid w:val="003F01CD"/>
    <w:rsid w:val="003F1375"/>
    <w:rsid w:val="003F1B32"/>
    <w:rsid w:val="003F3327"/>
    <w:rsid w:val="003F3D91"/>
    <w:rsid w:val="003F4086"/>
    <w:rsid w:val="003F67B3"/>
    <w:rsid w:val="003F7162"/>
    <w:rsid w:val="00400F18"/>
    <w:rsid w:val="00400FD7"/>
    <w:rsid w:val="00403187"/>
    <w:rsid w:val="004039AD"/>
    <w:rsid w:val="00404B4C"/>
    <w:rsid w:val="004057D8"/>
    <w:rsid w:val="00407441"/>
    <w:rsid w:val="0041005E"/>
    <w:rsid w:val="00410563"/>
    <w:rsid w:val="0041061F"/>
    <w:rsid w:val="00413A2B"/>
    <w:rsid w:val="004158CA"/>
    <w:rsid w:val="00417FAD"/>
    <w:rsid w:val="00421C1E"/>
    <w:rsid w:val="00421E75"/>
    <w:rsid w:val="00422CC1"/>
    <w:rsid w:val="00423295"/>
    <w:rsid w:val="00425317"/>
    <w:rsid w:val="00426614"/>
    <w:rsid w:val="004320C4"/>
    <w:rsid w:val="00433DA8"/>
    <w:rsid w:val="00435FC9"/>
    <w:rsid w:val="0044397E"/>
    <w:rsid w:val="00444841"/>
    <w:rsid w:val="00446181"/>
    <w:rsid w:val="0044727E"/>
    <w:rsid w:val="004475F1"/>
    <w:rsid w:val="004513BA"/>
    <w:rsid w:val="00452992"/>
    <w:rsid w:val="0045451D"/>
    <w:rsid w:val="004549D1"/>
    <w:rsid w:val="00456184"/>
    <w:rsid w:val="004623E5"/>
    <w:rsid w:val="00467F00"/>
    <w:rsid w:val="004708CD"/>
    <w:rsid w:val="004743E2"/>
    <w:rsid w:val="004746B8"/>
    <w:rsid w:val="00474A6B"/>
    <w:rsid w:val="00477DC9"/>
    <w:rsid w:val="004815DE"/>
    <w:rsid w:val="004829AB"/>
    <w:rsid w:val="00483A1B"/>
    <w:rsid w:val="00485562"/>
    <w:rsid w:val="00487C6A"/>
    <w:rsid w:val="00491608"/>
    <w:rsid w:val="00491610"/>
    <w:rsid w:val="00491648"/>
    <w:rsid w:val="00491A87"/>
    <w:rsid w:val="0049730C"/>
    <w:rsid w:val="00497EA5"/>
    <w:rsid w:val="004A16EC"/>
    <w:rsid w:val="004A445F"/>
    <w:rsid w:val="004A762B"/>
    <w:rsid w:val="004A7B54"/>
    <w:rsid w:val="004B0E46"/>
    <w:rsid w:val="004B1C43"/>
    <w:rsid w:val="004C107D"/>
    <w:rsid w:val="004C3710"/>
    <w:rsid w:val="004C54AD"/>
    <w:rsid w:val="004C592D"/>
    <w:rsid w:val="004C69C5"/>
    <w:rsid w:val="004C72D8"/>
    <w:rsid w:val="004D0217"/>
    <w:rsid w:val="004D0BA9"/>
    <w:rsid w:val="004D4D8A"/>
    <w:rsid w:val="004D4DE8"/>
    <w:rsid w:val="004D695B"/>
    <w:rsid w:val="004D724E"/>
    <w:rsid w:val="004E04D6"/>
    <w:rsid w:val="004E43DF"/>
    <w:rsid w:val="004E46AA"/>
    <w:rsid w:val="004E5AC2"/>
    <w:rsid w:val="004F0D9F"/>
    <w:rsid w:val="004F0EDB"/>
    <w:rsid w:val="004F40F3"/>
    <w:rsid w:val="004F624A"/>
    <w:rsid w:val="004F6C72"/>
    <w:rsid w:val="00501665"/>
    <w:rsid w:val="00505402"/>
    <w:rsid w:val="00505BEB"/>
    <w:rsid w:val="00507A4E"/>
    <w:rsid w:val="005110F0"/>
    <w:rsid w:val="00512BD9"/>
    <w:rsid w:val="005216DD"/>
    <w:rsid w:val="00522105"/>
    <w:rsid w:val="005222DA"/>
    <w:rsid w:val="0052597A"/>
    <w:rsid w:val="00525ADF"/>
    <w:rsid w:val="005265B9"/>
    <w:rsid w:val="00530440"/>
    <w:rsid w:val="005310D0"/>
    <w:rsid w:val="0053123B"/>
    <w:rsid w:val="005312D8"/>
    <w:rsid w:val="005321FE"/>
    <w:rsid w:val="0053364C"/>
    <w:rsid w:val="005337AC"/>
    <w:rsid w:val="0053422C"/>
    <w:rsid w:val="005345B7"/>
    <w:rsid w:val="00534BEB"/>
    <w:rsid w:val="005377C1"/>
    <w:rsid w:val="005407FC"/>
    <w:rsid w:val="00541738"/>
    <w:rsid w:val="00542561"/>
    <w:rsid w:val="005439FA"/>
    <w:rsid w:val="00544D70"/>
    <w:rsid w:val="005467B1"/>
    <w:rsid w:val="00550397"/>
    <w:rsid w:val="005513E9"/>
    <w:rsid w:val="00560F89"/>
    <w:rsid w:val="00562F69"/>
    <w:rsid w:val="00566038"/>
    <w:rsid w:val="00570EE9"/>
    <w:rsid w:val="00574F57"/>
    <w:rsid w:val="00585B64"/>
    <w:rsid w:val="00586836"/>
    <w:rsid w:val="005913B7"/>
    <w:rsid w:val="00594D19"/>
    <w:rsid w:val="005A2671"/>
    <w:rsid w:val="005A3780"/>
    <w:rsid w:val="005A553B"/>
    <w:rsid w:val="005A588F"/>
    <w:rsid w:val="005A67B0"/>
    <w:rsid w:val="005A6E53"/>
    <w:rsid w:val="005B4D92"/>
    <w:rsid w:val="005B5A46"/>
    <w:rsid w:val="005C033E"/>
    <w:rsid w:val="005C3DA8"/>
    <w:rsid w:val="005C4FC3"/>
    <w:rsid w:val="005C5043"/>
    <w:rsid w:val="005C7C42"/>
    <w:rsid w:val="005D0A65"/>
    <w:rsid w:val="005D120E"/>
    <w:rsid w:val="005D5CDA"/>
    <w:rsid w:val="005D71D4"/>
    <w:rsid w:val="005E1286"/>
    <w:rsid w:val="005E13A4"/>
    <w:rsid w:val="005E1719"/>
    <w:rsid w:val="005E349F"/>
    <w:rsid w:val="005E45AA"/>
    <w:rsid w:val="005E5E80"/>
    <w:rsid w:val="005E69C6"/>
    <w:rsid w:val="005E69E1"/>
    <w:rsid w:val="005E7E03"/>
    <w:rsid w:val="005F0167"/>
    <w:rsid w:val="005F3333"/>
    <w:rsid w:val="005F4BE1"/>
    <w:rsid w:val="005F7FEE"/>
    <w:rsid w:val="00602113"/>
    <w:rsid w:val="006028AB"/>
    <w:rsid w:val="00603247"/>
    <w:rsid w:val="00605421"/>
    <w:rsid w:val="006108CB"/>
    <w:rsid w:val="0061327D"/>
    <w:rsid w:val="0061523E"/>
    <w:rsid w:val="006165FC"/>
    <w:rsid w:val="00616FD1"/>
    <w:rsid w:val="00617E17"/>
    <w:rsid w:val="0062113E"/>
    <w:rsid w:val="00621549"/>
    <w:rsid w:val="00621FE0"/>
    <w:rsid w:val="006243EA"/>
    <w:rsid w:val="0062505A"/>
    <w:rsid w:val="00627A34"/>
    <w:rsid w:val="0063140E"/>
    <w:rsid w:val="00634656"/>
    <w:rsid w:val="00634BDD"/>
    <w:rsid w:val="00635A10"/>
    <w:rsid w:val="0064043E"/>
    <w:rsid w:val="00641519"/>
    <w:rsid w:val="0064299D"/>
    <w:rsid w:val="0064417D"/>
    <w:rsid w:val="00647D68"/>
    <w:rsid w:val="006502E4"/>
    <w:rsid w:val="00652A69"/>
    <w:rsid w:val="006542F2"/>
    <w:rsid w:val="00656913"/>
    <w:rsid w:val="006569A3"/>
    <w:rsid w:val="006575C3"/>
    <w:rsid w:val="00661A4E"/>
    <w:rsid w:val="00661BA2"/>
    <w:rsid w:val="00661CED"/>
    <w:rsid w:val="006635AF"/>
    <w:rsid w:val="00663DB0"/>
    <w:rsid w:val="00664062"/>
    <w:rsid w:val="00664BF3"/>
    <w:rsid w:val="00665529"/>
    <w:rsid w:val="00665C3B"/>
    <w:rsid w:val="00666157"/>
    <w:rsid w:val="00666734"/>
    <w:rsid w:val="00670B27"/>
    <w:rsid w:val="0067221B"/>
    <w:rsid w:val="006760F9"/>
    <w:rsid w:val="00681939"/>
    <w:rsid w:val="006859E6"/>
    <w:rsid w:val="00687018"/>
    <w:rsid w:val="00687D0E"/>
    <w:rsid w:val="00687EF1"/>
    <w:rsid w:val="00697B70"/>
    <w:rsid w:val="006A02EC"/>
    <w:rsid w:val="006A203B"/>
    <w:rsid w:val="006A34C1"/>
    <w:rsid w:val="006A3BD9"/>
    <w:rsid w:val="006B00FB"/>
    <w:rsid w:val="006B2129"/>
    <w:rsid w:val="006B2F13"/>
    <w:rsid w:val="006B3466"/>
    <w:rsid w:val="006B67E3"/>
    <w:rsid w:val="006B6A4A"/>
    <w:rsid w:val="006C010D"/>
    <w:rsid w:val="006C1747"/>
    <w:rsid w:val="006C1E21"/>
    <w:rsid w:val="006C25D2"/>
    <w:rsid w:val="006C610D"/>
    <w:rsid w:val="006C6816"/>
    <w:rsid w:val="006C6A8F"/>
    <w:rsid w:val="006C7B84"/>
    <w:rsid w:val="006D1268"/>
    <w:rsid w:val="006D1C58"/>
    <w:rsid w:val="006D29AD"/>
    <w:rsid w:val="006D5F1B"/>
    <w:rsid w:val="006D6ACF"/>
    <w:rsid w:val="006D7AE8"/>
    <w:rsid w:val="006E0C81"/>
    <w:rsid w:val="006E16E7"/>
    <w:rsid w:val="006E230C"/>
    <w:rsid w:val="006E4B7F"/>
    <w:rsid w:val="006E73D1"/>
    <w:rsid w:val="006F0984"/>
    <w:rsid w:val="006F4052"/>
    <w:rsid w:val="006F4230"/>
    <w:rsid w:val="006F6282"/>
    <w:rsid w:val="00702E31"/>
    <w:rsid w:val="00704536"/>
    <w:rsid w:val="00704FFF"/>
    <w:rsid w:val="0070608B"/>
    <w:rsid w:val="00706364"/>
    <w:rsid w:val="00714959"/>
    <w:rsid w:val="00715F6B"/>
    <w:rsid w:val="0072303E"/>
    <w:rsid w:val="0072323D"/>
    <w:rsid w:val="0072587E"/>
    <w:rsid w:val="00732E5D"/>
    <w:rsid w:val="007332CD"/>
    <w:rsid w:val="00733F9D"/>
    <w:rsid w:val="007437A3"/>
    <w:rsid w:val="007437D8"/>
    <w:rsid w:val="00743EC7"/>
    <w:rsid w:val="00744B9D"/>
    <w:rsid w:val="0074570B"/>
    <w:rsid w:val="00750063"/>
    <w:rsid w:val="00753390"/>
    <w:rsid w:val="00756AEA"/>
    <w:rsid w:val="00770F06"/>
    <w:rsid w:val="00771C52"/>
    <w:rsid w:val="00772F98"/>
    <w:rsid w:val="007730E2"/>
    <w:rsid w:val="00773421"/>
    <w:rsid w:val="00773997"/>
    <w:rsid w:val="00774047"/>
    <w:rsid w:val="007746E7"/>
    <w:rsid w:val="00775445"/>
    <w:rsid w:val="007758ED"/>
    <w:rsid w:val="00780B0B"/>
    <w:rsid w:val="00787C98"/>
    <w:rsid w:val="00790A78"/>
    <w:rsid w:val="007913A1"/>
    <w:rsid w:val="00791AA0"/>
    <w:rsid w:val="007922FD"/>
    <w:rsid w:val="00794EF6"/>
    <w:rsid w:val="00796756"/>
    <w:rsid w:val="0079719A"/>
    <w:rsid w:val="007A035B"/>
    <w:rsid w:val="007A0622"/>
    <w:rsid w:val="007A1CDE"/>
    <w:rsid w:val="007A30B8"/>
    <w:rsid w:val="007A4711"/>
    <w:rsid w:val="007A49BB"/>
    <w:rsid w:val="007A7EB3"/>
    <w:rsid w:val="007B39E1"/>
    <w:rsid w:val="007B6E71"/>
    <w:rsid w:val="007C119B"/>
    <w:rsid w:val="007C59F4"/>
    <w:rsid w:val="007C626C"/>
    <w:rsid w:val="007C7BB1"/>
    <w:rsid w:val="007D28B0"/>
    <w:rsid w:val="007D4E2B"/>
    <w:rsid w:val="007D5F83"/>
    <w:rsid w:val="007E14D6"/>
    <w:rsid w:val="007E1561"/>
    <w:rsid w:val="007E23AC"/>
    <w:rsid w:val="007E2CF6"/>
    <w:rsid w:val="007E3851"/>
    <w:rsid w:val="007E5351"/>
    <w:rsid w:val="007E57F8"/>
    <w:rsid w:val="007F1A0E"/>
    <w:rsid w:val="007F28FD"/>
    <w:rsid w:val="007F448A"/>
    <w:rsid w:val="007F7AF1"/>
    <w:rsid w:val="007F7B24"/>
    <w:rsid w:val="00803BB5"/>
    <w:rsid w:val="008071E0"/>
    <w:rsid w:val="0080794E"/>
    <w:rsid w:val="00810683"/>
    <w:rsid w:val="00810994"/>
    <w:rsid w:val="008114C7"/>
    <w:rsid w:val="0081302A"/>
    <w:rsid w:val="00814759"/>
    <w:rsid w:val="008164FB"/>
    <w:rsid w:val="00816993"/>
    <w:rsid w:val="00817CD7"/>
    <w:rsid w:val="0082092F"/>
    <w:rsid w:val="00821347"/>
    <w:rsid w:val="00825A5B"/>
    <w:rsid w:val="00827234"/>
    <w:rsid w:val="00832908"/>
    <w:rsid w:val="0083337F"/>
    <w:rsid w:val="008342D0"/>
    <w:rsid w:val="008344D9"/>
    <w:rsid w:val="00834BB1"/>
    <w:rsid w:val="0083518B"/>
    <w:rsid w:val="00837E8C"/>
    <w:rsid w:val="00841116"/>
    <w:rsid w:val="00842F01"/>
    <w:rsid w:val="00846D40"/>
    <w:rsid w:val="00847991"/>
    <w:rsid w:val="00850945"/>
    <w:rsid w:val="0085301F"/>
    <w:rsid w:val="00864030"/>
    <w:rsid w:val="008649B1"/>
    <w:rsid w:val="00864FB1"/>
    <w:rsid w:val="00865FF0"/>
    <w:rsid w:val="008665C7"/>
    <w:rsid w:val="0086729B"/>
    <w:rsid w:val="00870BEF"/>
    <w:rsid w:val="008751A5"/>
    <w:rsid w:val="00877710"/>
    <w:rsid w:val="008800F1"/>
    <w:rsid w:val="00880427"/>
    <w:rsid w:val="00882C78"/>
    <w:rsid w:val="00885180"/>
    <w:rsid w:val="00894FB2"/>
    <w:rsid w:val="00897EF2"/>
    <w:rsid w:val="008A027F"/>
    <w:rsid w:val="008A5CC6"/>
    <w:rsid w:val="008A6C23"/>
    <w:rsid w:val="008B520F"/>
    <w:rsid w:val="008B5A3D"/>
    <w:rsid w:val="008B6BDB"/>
    <w:rsid w:val="008B7397"/>
    <w:rsid w:val="008C2B2F"/>
    <w:rsid w:val="008C3503"/>
    <w:rsid w:val="008C38B0"/>
    <w:rsid w:val="008D2AB6"/>
    <w:rsid w:val="008D3128"/>
    <w:rsid w:val="008D5672"/>
    <w:rsid w:val="008E0633"/>
    <w:rsid w:val="008E1DEA"/>
    <w:rsid w:val="008E29CF"/>
    <w:rsid w:val="008E326E"/>
    <w:rsid w:val="008E3458"/>
    <w:rsid w:val="008E6476"/>
    <w:rsid w:val="008F0D4F"/>
    <w:rsid w:val="008F4439"/>
    <w:rsid w:val="008F5C1F"/>
    <w:rsid w:val="008F6AE8"/>
    <w:rsid w:val="008F6BB2"/>
    <w:rsid w:val="009007C4"/>
    <w:rsid w:val="00900915"/>
    <w:rsid w:val="00911D72"/>
    <w:rsid w:val="00911F4E"/>
    <w:rsid w:val="00912F47"/>
    <w:rsid w:val="00915881"/>
    <w:rsid w:val="00915AEE"/>
    <w:rsid w:val="00915BD9"/>
    <w:rsid w:val="00920702"/>
    <w:rsid w:val="00921DA3"/>
    <w:rsid w:val="009265C1"/>
    <w:rsid w:val="00926C8A"/>
    <w:rsid w:val="009278A4"/>
    <w:rsid w:val="00927A18"/>
    <w:rsid w:val="00935AD5"/>
    <w:rsid w:val="00936579"/>
    <w:rsid w:val="00942B11"/>
    <w:rsid w:val="0094379C"/>
    <w:rsid w:val="00943E4E"/>
    <w:rsid w:val="0094692C"/>
    <w:rsid w:val="00951E16"/>
    <w:rsid w:val="009547FB"/>
    <w:rsid w:val="00954F82"/>
    <w:rsid w:val="00957A83"/>
    <w:rsid w:val="00957F04"/>
    <w:rsid w:val="0096673D"/>
    <w:rsid w:val="0097075A"/>
    <w:rsid w:val="00973064"/>
    <w:rsid w:val="0097385A"/>
    <w:rsid w:val="009772CA"/>
    <w:rsid w:val="00977431"/>
    <w:rsid w:val="009809FD"/>
    <w:rsid w:val="00981DB4"/>
    <w:rsid w:val="00982416"/>
    <w:rsid w:val="0098303E"/>
    <w:rsid w:val="00984D04"/>
    <w:rsid w:val="00985D41"/>
    <w:rsid w:val="0098705D"/>
    <w:rsid w:val="00991193"/>
    <w:rsid w:val="00991764"/>
    <w:rsid w:val="00991EE6"/>
    <w:rsid w:val="00992893"/>
    <w:rsid w:val="00993E30"/>
    <w:rsid w:val="009969B8"/>
    <w:rsid w:val="009A1F6E"/>
    <w:rsid w:val="009B04FC"/>
    <w:rsid w:val="009B1E37"/>
    <w:rsid w:val="009C0530"/>
    <w:rsid w:val="009C1D55"/>
    <w:rsid w:val="009C260E"/>
    <w:rsid w:val="009C2678"/>
    <w:rsid w:val="009C296D"/>
    <w:rsid w:val="009C3C17"/>
    <w:rsid w:val="009C416B"/>
    <w:rsid w:val="009C5554"/>
    <w:rsid w:val="009C5840"/>
    <w:rsid w:val="009C5FE2"/>
    <w:rsid w:val="009C604F"/>
    <w:rsid w:val="009C63EF"/>
    <w:rsid w:val="009C67FF"/>
    <w:rsid w:val="009C684D"/>
    <w:rsid w:val="009C6E6F"/>
    <w:rsid w:val="009C6FB3"/>
    <w:rsid w:val="009D521D"/>
    <w:rsid w:val="009D749E"/>
    <w:rsid w:val="009E0FA3"/>
    <w:rsid w:val="009E158B"/>
    <w:rsid w:val="009E1E06"/>
    <w:rsid w:val="009E2569"/>
    <w:rsid w:val="009E4E37"/>
    <w:rsid w:val="009E63A6"/>
    <w:rsid w:val="009E63BE"/>
    <w:rsid w:val="009E685C"/>
    <w:rsid w:val="009E7E0B"/>
    <w:rsid w:val="009F718A"/>
    <w:rsid w:val="00A0279C"/>
    <w:rsid w:val="00A0339D"/>
    <w:rsid w:val="00A064D0"/>
    <w:rsid w:val="00A23FA4"/>
    <w:rsid w:val="00A24316"/>
    <w:rsid w:val="00A305C0"/>
    <w:rsid w:val="00A32976"/>
    <w:rsid w:val="00A354C4"/>
    <w:rsid w:val="00A40FAB"/>
    <w:rsid w:val="00A4263D"/>
    <w:rsid w:val="00A433F1"/>
    <w:rsid w:val="00A43EDE"/>
    <w:rsid w:val="00A44DDA"/>
    <w:rsid w:val="00A51A89"/>
    <w:rsid w:val="00A539CF"/>
    <w:rsid w:val="00A5590B"/>
    <w:rsid w:val="00A56E3B"/>
    <w:rsid w:val="00A61AD8"/>
    <w:rsid w:val="00A638EA"/>
    <w:rsid w:val="00A6477A"/>
    <w:rsid w:val="00A64FA3"/>
    <w:rsid w:val="00A6539D"/>
    <w:rsid w:val="00A65498"/>
    <w:rsid w:val="00A67741"/>
    <w:rsid w:val="00A677ED"/>
    <w:rsid w:val="00A67F1D"/>
    <w:rsid w:val="00A70B97"/>
    <w:rsid w:val="00A70F91"/>
    <w:rsid w:val="00A7129F"/>
    <w:rsid w:val="00A713EF"/>
    <w:rsid w:val="00A71B23"/>
    <w:rsid w:val="00A72B72"/>
    <w:rsid w:val="00A730A1"/>
    <w:rsid w:val="00A81358"/>
    <w:rsid w:val="00A835FA"/>
    <w:rsid w:val="00A858C5"/>
    <w:rsid w:val="00A863CA"/>
    <w:rsid w:val="00A87222"/>
    <w:rsid w:val="00A87C03"/>
    <w:rsid w:val="00A9258B"/>
    <w:rsid w:val="00AA06AA"/>
    <w:rsid w:val="00AA5485"/>
    <w:rsid w:val="00AB10CA"/>
    <w:rsid w:val="00AB3B92"/>
    <w:rsid w:val="00AB4570"/>
    <w:rsid w:val="00AB6360"/>
    <w:rsid w:val="00AB6FB4"/>
    <w:rsid w:val="00AB718F"/>
    <w:rsid w:val="00AB73F0"/>
    <w:rsid w:val="00AB7B2E"/>
    <w:rsid w:val="00AB7B4B"/>
    <w:rsid w:val="00AC0B39"/>
    <w:rsid w:val="00AC129C"/>
    <w:rsid w:val="00AC3FD3"/>
    <w:rsid w:val="00AD0109"/>
    <w:rsid w:val="00AD04F3"/>
    <w:rsid w:val="00AD1F92"/>
    <w:rsid w:val="00AD3E41"/>
    <w:rsid w:val="00AD6619"/>
    <w:rsid w:val="00AE07EE"/>
    <w:rsid w:val="00AE3B20"/>
    <w:rsid w:val="00AE55FB"/>
    <w:rsid w:val="00AE7B9B"/>
    <w:rsid w:val="00AF3369"/>
    <w:rsid w:val="00AF3EC0"/>
    <w:rsid w:val="00B02311"/>
    <w:rsid w:val="00B05C1F"/>
    <w:rsid w:val="00B05ECA"/>
    <w:rsid w:val="00B125F1"/>
    <w:rsid w:val="00B138E2"/>
    <w:rsid w:val="00B1482A"/>
    <w:rsid w:val="00B2017F"/>
    <w:rsid w:val="00B21F30"/>
    <w:rsid w:val="00B25C72"/>
    <w:rsid w:val="00B278DB"/>
    <w:rsid w:val="00B30336"/>
    <w:rsid w:val="00B42FB0"/>
    <w:rsid w:val="00B4494E"/>
    <w:rsid w:val="00B45B2A"/>
    <w:rsid w:val="00B5018A"/>
    <w:rsid w:val="00B50B22"/>
    <w:rsid w:val="00B51494"/>
    <w:rsid w:val="00B52591"/>
    <w:rsid w:val="00B575E9"/>
    <w:rsid w:val="00B61884"/>
    <w:rsid w:val="00B65760"/>
    <w:rsid w:val="00B71F6A"/>
    <w:rsid w:val="00B74AB6"/>
    <w:rsid w:val="00B74C8C"/>
    <w:rsid w:val="00B755B5"/>
    <w:rsid w:val="00B774DD"/>
    <w:rsid w:val="00B82B25"/>
    <w:rsid w:val="00B833F8"/>
    <w:rsid w:val="00B83CD7"/>
    <w:rsid w:val="00B84AAB"/>
    <w:rsid w:val="00B84DEC"/>
    <w:rsid w:val="00B9139E"/>
    <w:rsid w:val="00B91C40"/>
    <w:rsid w:val="00B931FD"/>
    <w:rsid w:val="00B947EA"/>
    <w:rsid w:val="00B96974"/>
    <w:rsid w:val="00B974AF"/>
    <w:rsid w:val="00BA3B1E"/>
    <w:rsid w:val="00BA6D16"/>
    <w:rsid w:val="00BA7CD1"/>
    <w:rsid w:val="00BB0AEF"/>
    <w:rsid w:val="00BB0CEE"/>
    <w:rsid w:val="00BB3014"/>
    <w:rsid w:val="00BB3386"/>
    <w:rsid w:val="00BB3A50"/>
    <w:rsid w:val="00BB6114"/>
    <w:rsid w:val="00BB7660"/>
    <w:rsid w:val="00BC1F70"/>
    <w:rsid w:val="00BC2969"/>
    <w:rsid w:val="00BC3039"/>
    <w:rsid w:val="00BC609C"/>
    <w:rsid w:val="00BD06D9"/>
    <w:rsid w:val="00BD0E6A"/>
    <w:rsid w:val="00BD1606"/>
    <w:rsid w:val="00BD379A"/>
    <w:rsid w:val="00BD384A"/>
    <w:rsid w:val="00BE1417"/>
    <w:rsid w:val="00BE246F"/>
    <w:rsid w:val="00BE28E6"/>
    <w:rsid w:val="00BE4321"/>
    <w:rsid w:val="00BE52B7"/>
    <w:rsid w:val="00BE67AF"/>
    <w:rsid w:val="00BF487A"/>
    <w:rsid w:val="00BF6D37"/>
    <w:rsid w:val="00C01814"/>
    <w:rsid w:val="00C074F0"/>
    <w:rsid w:val="00C103EF"/>
    <w:rsid w:val="00C12EC6"/>
    <w:rsid w:val="00C13AD9"/>
    <w:rsid w:val="00C1474E"/>
    <w:rsid w:val="00C16529"/>
    <w:rsid w:val="00C20CE4"/>
    <w:rsid w:val="00C21CF1"/>
    <w:rsid w:val="00C24242"/>
    <w:rsid w:val="00C27DBA"/>
    <w:rsid w:val="00C30570"/>
    <w:rsid w:val="00C315AF"/>
    <w:rsid w:val="00C349BD"/>
    <w:rsid w:val="00C34F1D"/>
    <w:rsid w:val="00C35D2D"/>
    <w:rsid w:val="00C36334"/>
    <w:rsid w:val="00C37F34"/>
    <w:rsid w:val="00C40725"/>
    <w:rsid w:val="00C4118A"/>
    <w:rsid w:val="00C44BB1"/>
    <w:rsid w:val="00C45B5B"/>
    <w:rsid w:val="00C50A71"/>
    <w:rsid w:val="00C52908"/>
    <w:rsid w:val="00C5469C"/>
    <w:rsid w:val="00C54A46"/>
    <w:rsid w:val="00C5732F"/>
    <w:rsid w:val="00C57399"/>
    <w:rsid w:val="00C616F5"/>
    <w:rsid w:val="00C628D8"/>
    <w:rsid w:val="00C64361"/>
    <w:rsid w:val="00C651E5"/>
    <w:rsid w:val="00C66258"/>
    <w:rsid w:val="00C66C98"/>
    <w:rsid w:val="00C706DF"/>
    <w:rsid w:val="00C7113A"/>
    <w:rsid w:val="00C71250"/>
    <w:rsid w:val="00C72271"/>
    <w:rsid w:val="00C72880"/>
    <w:rsid w:val="00C73ABB"/>
    <w:rsid w:val="00C756F1"/>
    <w:rsid w:val="00C76B74"/>
    <w:rsid w:val="00C80C13"/>
    <w:rsid w:val="00C81B80"/>
    <w:rsid w:val="00C824FC"/>
    <w:rsid w:val="00C83C87"/>
    <w:rsid w:val="00C8516A"/>
    <w:rsid w:val="00C87150"/>
    <w:rsid w:val="00C94C2E"/>
    <w:rsid w:val="00C95838"/>
    <w:rsid w:val="00C978CE"/>
    <w:rsid w:val="00CA1FD4"/>
    <w:rsid w:val="00CA48DA"/>
    <w:rsid w:val="00CA5C32"/>
    <w:rsid w:val="00CA656B"/>
    <w:rsid w:val="00CA68E4"/>
    <w:rsid w:val="00CA6F5C"/>
    <w:rsid w:val="00CB2F0E"/>
    <w:rsid w:val="00CB2F33"/>
    <w:rsid w:val="00CB48BF"/>
    <w:rsid w:val="00CB5DF2"/>
    <w:rsid w:val="00CC1F7C"/>
    <w:rsid w:val="00CC71CC"/>
    <w:rsid w:val="00CD0B21"/>
    <w:rsid w:val="00CD14CB"/>
    <w:rsid w:val="00CD2270"/>
    <w:rsid w:val="00CD2353"/>
    <w:rsid w:val="00CD2565"/>
    <w:rsid w:val="00CE2854"/>
    <w:rsid w:val="00CE3BD7"/>
    <w:rsid w:val="00CE4ACA"/>
    <w:rsid w:val="00CE6C67"/>
    <w:rsid w:val="00CE72DC"/>
    <w:rsid w:val="00CF0524"/>
    <w:rsid w:val="00CF09A8"/>
    <w:rsid w:val="00CF1696"/>
    <w:rsid w:val="00CF2168"/>
    <w:rsid w:val="00CF3939"/>
    <w:rsid w:val="00CF424F"/>
    <w:rsid w:val="00CF665D"/>
    <w:rsid w:val="00CF706F"/>
    <w:rsid w:val="00D07194"/>
    <w:rsid w:val="00D12A17"/>
    <w:rsid w:val="00D154DC"/>
    <w:rsid w:val="00D2137D"/>
    <w:rsid w:val="00D26FEC"/>
    <w:rsid w:val="00D31B1D"/>
    <w:rsid w:val="00D359EE"/>
    <w:rsid w:val="00D35E61"/>
    <w:rsid w:val="00D35F0E"/>
    <w:rsid w:val="00D373BA"/>
    <w:rsid w:val="00D40BCD"/>
    <w:rsid w:val="00D419E9"/>
    <w:rsid w:val="00D429F6"/>
    <w:rsid w:val="00D43E2D"/>
    <w:rsid w:val="00D44F82"/>
    <w:rsid w:val="00D45595"/>
    <w:rsid w:val="00D463D2"/>
    <w:rsid w:val="00D47115"/>
    <w:rsid w:val="00D50203"/>
    <w:rsid w:val="00D50E7C"/>
    <w:rsid w:val="00D616E0"/>
    <w:rsid w:val="00D62971"/>
    <w:rsid w:val="00D65636"/>
    <w:rsid w:val="00D65AD6"/>
    <w:rsid w:val="00D67B9A"/>
    <w:rsid w:val="00D70184"/>
    <w:rsid w:val="00D730CE"/>
    <w:rsid w:val="00D738B1"/>
    <w:rsid w:val="00D7568B"/>
    <w:rsid w:val="00D8042C"/>
    <w:rsid w:val="00D81D18"/>
    <w:rsid w:val="00D84578"/>
    <w:rsid w:val="00D84E39"/>
    <w:rsid w:val="00D860D0"/>
    <w:rsid w:val="00D93E2A"/>
    <w:rsid w:val="00D94D88"/>
    <w:rsid w:val="00D9747A"/>
    <w:rsid w:val="00D97F2D"/>
    <w:rsid w:val="00DA1067"/>
    <w:rsid w:val="00DA50B5"/>
    <w:rsid w:val="00DB132A"/>
    <w:rsid w:val="00DB186E"/>
    <w:rsid w:val="00DB1F96"/>
    <w:rsid w:val="00DB4FE5"/>
    <w:rsid w:val="00DB788F"/>
    <w:rsid w:val="00DD0C60"/>
    <w:rsid w:val="00DD28E9"/>
    <w:rsid w:val="00DD317A"/>
    <w:rsid w:val="00DD4E3A"/>
    <w:rsid w:val="00DD5D44"/>
    <w:rsid w:val="00DD5DDA"/>
    <w:rsid w:val="00DE3334"/>
    <w:rsid w:val="00DE40FC"/>
    <w:rsid w:val="00DE7DEA"/>
    <w:rsid w:val="00DF27BA"/>
    <w:rsid w:val="00DF32A2"/>
    <w:rsid w:val="00DF68FA"/>
    <w:rsid w:val="00DF6E55"/>
    <w:rsid w:val="00DF7170"/>
    <w:rsid w:val="00DF738B"/>
    <w:rsid w:val="00E03E2E"/>
    <w:rsid w:val="00E05DBA"/>
    <w:rsid w:val="00E11037"/>
    <w:rsid w:val="00E12E1A"/>
    <w:rsid w:val="00E13B5E"/>
    <w:rsid w:val="00E154F8"/>
    <w:rsid w:val="00E156D6"/>
    <w:rsid w:val="00E15760"/>
    <w:rsid w:val="00E17CCE"/>
    <w:rsid w:val="00E225AB"/>
    <w:rsid w:val="00E27CA4"/>
    <w:rsid w:val="00E32945"/>
    <w:rsid w:val="00E332A1"/>
    <w:rsid w:val="00E337EB"/>
    <w:rsid w:val="00E33BB3"/>
    <w:rsid w:val="00E33E66"/>
    <w:rsid w:val="00E4068E"/>
    <w:rsid w:val="00E425A6"/>
    <w:rsid w:val="00E4425D"/>
    <w:rsid w:val="00E46A67"/>
    <w:rsid w:val="00E47CB9"/>
    <w:rsid w:val="00E50801"/>
    <w:rsid w:val="00E50EE8"/>
    <w:rsid w:val="00E53008"/>
    <w:rsid w:val="00E578D1"/>
    <w:rsid w:val="00E57C50"/>
    <w:rsid w:val="00E63A99"/>
    <w:rsid w:val="00E65E44"/>
    <w:rsid w:val="00E66D15"/>
    <w:rsid w:val="00E6749D"/>
    <w:rsid w:val="00E74726"/>
    <w:rsid w:val="00E75510"/>
    <w:rsid w:val="00E81E21"/>
    <w:rsid w:val="00E83735"/>
    <w:rsid w:val="00E83F40"/>
    <w:rsid w:val="00E84C3B"/>
    <w:rsid w:val="00E85D90"/>
    <w:rsid w:val="00E87497"/>
    <w:rsid w:val="00E87E2B"/>
    <w:rsid w:val="00E90449"/>
    <w:rsid w:val="00E917FF"/>
    <w:rsid w:val="00E91CFE"/>
    <w:rsid w:val="00E920C9"/>
    <w:rsid w:val="00E937B5"/>
    <w:rsid w:val="00E97FBD"/>
    <w:rsid w:val="00EA0D8A"/>
    <w:rsid w:val="00EA480E"/>
    <w:rsid w:val="00EA54DC"/>
    <w:rsid w:val="00EA6625"/>
    <w:rsid w:val="00EB1026"/>
    <w:rsid w:val="00EB329D"/>
    <w:rsid w:val="00EB35CF"/>
    <w:rsid w:val="00EB392E"/>
    <w:rsid w:val="00EB4FA7"/>
    <w:rsid w:val="00EB5A19"/>
    <w:rsid w:val="00EB6219"/>
    <w:rsid w:val="00EB66C4"/>
    <w:rsid w:val="00EC1A65"/>
    <w:rsid w:val="00EC1CEC"/>
    <w:rsid w:val="00EC3DE3"/>
    <w:rsid w:val="00EC407F"/>
    <w:rsid w:val="00EC4AD7"/>
    <w:rsid w:val="00EC60EA"/>
    <w:rsid w:val="00EC618C"/>
    <w:rsid w:val="00EC64BF"/>
    <w:rsid w:val="00EC6DE5"/>
    <w:rsid w:val="00EC72AD"/>
    <w:rsid w:val="00ED3672"/>
    <w:rsid w:val="00ED3A04"/>
    <w:rsid w:val="00ED78CD"/>
    <w:rsid w:val="00ED7AC2"/>
    <w:rsid w:val="00EE4977"/>
    <w:rsid w:val="00EE4C75"/>
    <w:rsid w:val="00EE5EC5"/>
    <w:rsid w:val="00EE77CD"/>
    <w:rsid w:val="00EF1E58"/>
    <w:rsid w:val="00EF66C4"/>
    <w:rsid w:val="00F00778"/>
    <w:rsid w:val="00F00818"/>
    <w:rsid w:val="00F03205"/>
    <w:rsid w:val="00F04D11"/>
    <w:rsid w:val="00F054F7"/>
    <w:rsid w:val="00F10D14"/>
    <w:rsid w:val="00F10F6F"/>
    <w:rsid w:val="00F15FA1"/>
    <w:rsid w:val="00F16DEB"/>
    <w:rsid w:val="00F24883"/>
    <w:rsid w:val="00F25BDE"/>
    <w:rsid w:val="00F264E3"/>
    <w:rsid w:val="00F26C21"/>
    <w:rsid w:val="00F304A8"/>
    <w:rsid w:val="00F322AC"/>
    <w:rsid w:val="00F32483"/>
    <w:rsid w:val="00F348B5"/>
    <w:rsid w:val="00F40ED4"/>
    <w:rsid w:val="00F43228"/>
    <w:rsid w:val="00F43DEA"/>
    <w:rsid w:val="00F4401A"/>
    <w:rsid w:val="00F44D4F"/>
    <w:rsid w:val="00F460BA"/>
    <w:rsid w:val="00F47BEE"/>
    <w:rsid w:val="00F50548"/>
    <w:rsid w:val="00F507FF"/>
    <w:rsid w:val="00F5240F"/>
    <w:rsid w:val="00F60304"/>
    <w:rsid w:val="00F606E3"/>
    <w:rsid w:val="00F63DA1"/>
    <w:rsid w:val="00F646FB"/>
    <w:rsid w:val="00F660E3"/>
    <w:rsid w:val="00F67134"/>
    <w:rsid w:val="00F674D0"/>
    <w:rsid w:val="00F71500"/>
    <w:rsid w:val="00F75DC0"/>
    <w:rsid w:val="00F81AD1"/>
    <w:rsid w:val="00F8234C"/>
    <w:rsid w:val="00F83DB9"/>
    <w:rsid w:val="00F85201"/>
    <w:rsid w:val="00F90FC8"/>
    <w:rsid w:val="00F92280"/>
    <w:rsid w:val="00F92507"/>
    <w:rsid w:val="00F92BEA"/>
    <w:rsid w:val="00F9364C"/>
    <w:rsid w:val="00F9570D"/>
    <w:rsid w:val="00FA1115"/>
    <w:rsid w:val="00FA1637"/>
    <w:rsid w:val="00FA2006"/>
    <w:rsid w:val="00FA6C0B"/>
    <w:rsid w:val="00FB0DDB"/>
    <w:rsid w:val="00FB1230"/>
    <w:rsid w:val="00FB1FFF"/>
    <w:rsid w:val="00FB3654"/>
    <w:rsid w:val="00FB5330"/>
    <w:rsid w:val="00FB563C"/>
    <w:rsid w:val="00FB5B80"/>
    <w:rsid w:val="00FC030A"/>
    <w:rsid w:val="00FC67F6"/>
    <w:rsid w:val="00FC7666"/>
    <w:rsid w:val="00FC7A62"/>
    <w:rsid w:val="00FD0CD3"/>
    <w:rsid w:val="00FD1BAC"/>
    <w:rsid w:val="00FD26A6"/>
    <w:rsid w:val="00FD56EE"/>
    <w:rsid w:val="00FD5A24"/>
    <w:rsid w:val="00FD68D7"/>
    <w:rsid w:val="00FE007B"/>
    <w:rsid w:val="00FE30BB"/>
    <w:rsid w:val="00FE3383"/>
    <w:rsid w:val="00FE4866"/>
    <w:rsid w:val="00FE6B1E"/>
    <w:rsid w:val="00FE76D8"/>
    <w:rsid w:val="00FE7BFA"/>
    <w:rsid w:val="00FE7EAF"/>
    <w:rsid w:val="00FF0636"/>
    <w:rsid w:val="00FF0874"/>
    <w:rsid w:val="00FF30C2"/>
    <w:rsid w:val="00FF35E0"/>
    <w:rsid w:val="00FF456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78ED36"/>
  <w15:chartTrackingRefBased/>
  <w15:docId w15:val="{2C4E3439-F702-4E4B-AE2D-04E5554E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sz w:val="22"/>
      <w:szCs w:val="24"/>
      <w:lang w:eastAsia="zh-CN"/>
    </w:rPr>
  </w:style>
  <w:style w:type="paragraph" w:styleId="Heading1">
    <w:name w:val="heading 1"/>
    <w:basedOn w:val="HouseStyleBase"/>
    <w:qFormat/>
    <w:pPr>
      <w:keepNext/>
      <w:numPr>
        <w:numId w:val="2"/>
      </w:numPr>
      <w:jc w:val="center"/>
      <w:outlineLvl w:val="0"/>
    </w:pPr>
    <w:rPr>
      <w:b/>
      <w:u w:val="single"/>
    </w:rPr>
  </w:style>
  <w:style w:type="paragraph" w:styleId="Heading2">
    <w:name w:val="heading 2"/>
    <w:basedOn w:val="HouseStyleBase"/>
    <w:link w:val="Heading2Char"/>
    <w:qFormat/>
    <w:pPr>
      <w:numPr>
        <w:ilvl w:val="1"/>
        <w:numId w:val="2"/>
      </w:numPr>
      <w:outlineLvl w:val="1"/>
    </w:pPr>
    <w:rPr>
      <w:b/>
      <w:sz w:val="20"/>
    </w:rPr>
  </w:style>
  <w:style w:type="paragraph" w:styleId="Heading3">
    <w:name w:val="heading 3"/>
    <w:basedOn w:val="HouseStyleBase"/>
    <w:link w:val="Heading3Char"/>
    <w:qFormat/>
    <w:pPr>
      <w:numPr>
        <w:ilvl w:val="2"/>
        <w:numId w:val="2"/>
      </w:numPr>
      <w:outlineLvl w:val="2"/>
    </w:pPr>
    <w:rPr>
      <w:sz w:val="20"/>
    </w:rPr>
  </w:style>
  <w:style w:type="paragraph" w:styleId="Heading4">
    <w:name w:val="heading 4"/>
    <w:basedOn w:val="HouseStyleBase"/>
    <w:link w:val="Heading4Char"/>
    <w:qFormat/>
    <w:pPr>
      <w:numPr>
        <w:ilvl w:val="3"/>
        <w:numId w:val="2"/>
      </w:numPr>
      <w:outlineLvl w:val="3"/>
    </w:pPr>
    <w:rPr>
      <w:sz w:val="20"/>
    </w:rPr>
  </w:style>
  <w:style w:type="paragraph" w:styleId="Heading5">
    <w:name w:val="heading 5"/>
    <w:basedOn w:val="HouseStyleBase"/>
    <w:link w:val="Heading5Char"/>
    <w:qFormat/>
    <w:pPr>
      <w:numPr>
        <w:ilvl w:val="4"/>
        <w:numId w:val="2"/>
      </w:numPr>
      <w:outlineLvl w:val="4"/>
    </w:pPr>
    <w:rPr>
      <w:sz w:val="20"/>
    </w:rPr>
  </w:style>
  <w:style w:type="paragraph" w:styleId="Heading6">
    <w:name w:val="heading 6"/>
    <w:basedOn w:val="HouseStyleBase"/>
    <w:qFormat/>
    <w:pPr>
      <w:numPr>
        <w:ilvl w:val="5"/>
        <w:numId w:val="2"/>
      </w:numPr>
      <w:outlineLvl w:val="5"/>
    </w:pPr>
    <w:rPr>
      <w:sz w:val="20"/>
    </w:rPr>
  </w:style>
  <w:style w:type="paragraph" w:styleId="Heading7">
    <w:name w:val="heading 7"/>
    <w:basedOn w:val="HouseStyleBase"/>
    <w:qFormat/>
    <w:pPr>
      <w:numPr>
        <w:ilvl w:val="6"/>
        <w:numId w:val="2"/>
      </w:numPr>
      <w:outlineLvl w:val="6"/>
    </w:pPr>
    <w:rPr>
      <w:sz w:val="20"/>
    </w:r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kern w:val="28"/>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kern w:val="28"/>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kern w:val="28"/>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kern w:val="28"/>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kern w:val="28"/>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kern w:val="28"/>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kern w:val="28"/>
      <w:sz w:val="22"/>
      <w:lang w:eastAsia="zh-CN"/>
    </w:rPr>
  </w:style>
  <w:style w:type="paragraph" w:styleId="TOC8">
    <w:name w:val="toc 8"/>
    <w:uiPriority w:val="39"/>
    <w:pPr>
      <w:tabs>
        <w:tab w:val="right" w:leader="dot" w:pos="9029"/>
      </w:tabs>
      <w:adjustRightInd w:val="0"/>
      <w:spacing w:after="120"/>
    </w:pPr>
    <w:rPr>
      <w:rFonts w:eastAsia="STZhongsong"/>
      <w:caps/>
      <w:kern w:val="28"/>
      <w:sz w:val="22"/>
      <w:lang w:eastAsia="zh-CN"/>
    </w:rPr>
  </w:style>
  <w:style w:type="paragraph" w:styleId="TOC9">
    <w:name w:val="toc 9"/>
    <w:uiPriority w:val="39"/>
    <w:pPr>
      <w:tabs>
        <w:tab w:val="right" w:leader="dot" w:pos="9029"/>
      </w:tabs>
      <w:adjustRightInd w:val="0"/>
      <w:spacing w:after="120"/>
      <w:ind w:left="720"/>
    </w:pPr>
    <w:rPr>
      <w:rFonts w:eastAsia="STZhongsong"/>
      <w:kern w:val="28"/>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rPr>
      <w:sz w:val="20"/>
    </w:rPr>
  </w:style>
  <w:style w:type="paragraph" w:styleId="Header">
    <w:name w:val="header"/>
    <w:basedOn w:val="Normal"/>
    <w:link w:val="HeaderChar"/>
    <w:uiPriority w:val="99"/>
    <w:pPr>
      <w:tabs>
        <w:tab w:val="center" w:pos="4153"/>
        <w:tab w:val="right" w:pos="8306"/>
      </w:tabs>
    </w:p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numPr>
        <w:numId w:val="5"/>
      </w:numPr>
    </w:pPr>
    <w:rPr>
      <w:sz w:val="20"/>
    </w:rPr>
  </w:style>
  <w:style w:type="paragraph" w:styleId="BodyTextIndent2">
    <w:name w:val="Body Text Indent 2"/>
    <w:basedOn w:val="HouseStyleBase"/>
    <w:pPr>
      <w:numPr>
        <w:ilvl w:val="1"/>
        <w:numId w:val="5"/>
      </w:numPr>
    </w:pPr>
    <w:rPr>
      <w:sz w:val="20"/>
    </w:rPr>
  </w:style>
  <w:style w:type="paragraph" w:styleId="BodyTextIndent3">
    <w:name w:val="Body Text Indent 3"/>
    <w:basedOn w:val="HouseStyleBase"/>
    <w:pPr>
      <w:ind w:left="1440"/>
    </w:pPr>
    <w:rPr>
      <w:sz w:val="20"/>
    </w:rPr>
  </w:style>
  <w:style w:type="paragraph" w:customStyle="1" w:styleId="BodyTextIndent4">
    <w:name w:val="Body Text Indent 4"/>
    <w:basedOn w:val="HouseStyleBase"/>
    <w:pPr>
      <w:ind w:left="2160"/>
    </w:pPr>
    <w:rPr>
      <w:sz w:val="20"/>
    </w:rPr>
  </w:style>
  <w:style w:type="paragraph" w:customStyle="1" w:styleId="BodyTextIndent5">
    <w:name w:val="Body Text Indent 5"/>
    <w:basedOn w:val="HouseStyleBase"/>
    <w:pPr>
      <w:ind w:left="2880"/>
    </w:pPr>
  </w:style>
  <w:style w:type="paragraph" w:customStyle="1" w:styleId="BodyTextIndent6">
    <w:name w:val="Body Text Indent 6"/>
    <w:basedOn w:val="HouseStyleBase"/>
    <w:pPr>
      <w:ind w:left="3600"/>
    </w:pPr>
  </w:style>
  <w:style w:type="paragraph" w:customStyle="1" w:styleId="BodyTextIndent7">
    <w:name w:val="Body Text Indent 7"/>
    <w:basedOn w:val="HouseStyleBase"/>
    <w:pPr>
      <w:ind w:left="4320"/>
    </w:pPr>
  </w:style>
  <w:style w:type="paragraph" w:customStyle="1" w:styleId="BodyTextIndent8">
    <w:name w:val="Body Text Indent 8"/>
    <w:basedOn w:val="HouseStyleBase"/>
    <w:pPr>
      <w:ind w:left="5040"/>
    </w:pPr>
  </w:style>
  <w:style w:type="paragraph" w:customStyle="1" w:styleId="MarginText">
    <w:name w:val="Margin Text"/>
    <w:basedOn w:val="HouseStyleBase"/>
    <w:link w:val="MarginTextChar"/>
    <w:rPr>
      <w:sz w:val="20"/>
    </w:rPr>
  </w:style>
  <w:style w:type="paragraph" w:customStyle="1" w:styleId="SchHead">
    <w:name w:val="SchHead"/>
    <w:basedOn w:val="HouseStyleBaseCentred"/>
    <w:next w:val="SchPart"/>
    <w:pPr>
      <w:keepNext/>
      <w:numPr>
        <w:numId w:val="6"/>
      </w:numPr>
      <w:jc w:val="center"/>
      <w:outlineLvl w:val="0"/>
    </w:pPr>
    <w:rPr>
      <w:b/>
      <w:caps/>
    </w:rPr>
  </w:style>
  <w:style w:type="paragraph" w:customStyle="1" w:styleId="AppPart">
    <w:name w:val="AppPart"/>
    <w:basedOn w:val="HouseStyleBaseCentred"/>
    <w:pPr>
      <w:numPr>
        <w:ilvl w:val="1"/>
        <w:numId w:val="4"/>
      </w:numPr>
      <w:jc w:val="center"/>
      <w:outlineLvl w:val="1"/>
    </w:pPr>
    <w:rPr>
      <w:b/>
    </w:rPr>
  </w:style>
  <w:style w:type="paragraph" w:styleId="ListBullet">
    <w:name w:val="List Bullet"/>
    <w:basedOn w:val="Normal"/>
    <w:pPr>
      <w:numPr>
        <w:ilvl w:val="10"/>
      </w:numPr>
      <w:overflowPunct w:val="0"/>
      <w:autoSpaceDE w:val="0"/>
      <w:autoSpaceDN w:val="0"/>
      <w:adjustRightInd w:val="0"/>
      <w:spacing w:after="240" w:line="360" w:lineRule="auto"/>
      <w:ind w:left="720" w:hanging="720"/>
      <w:jc w:val="both"/>
      <w:textAlignment w:val="baseline"/>
    </w:pPr>
    <w:rPr>
      <w:rFonts w:eastAsia="Times New Roman"/>
      <w:sz w:val="20"/>
      <w:szCs w:val="20"/>
      <w:lang w:eastAsia="en-US"/>
    </w:rPr>
  </w:style>
  <w:style w:type="paragraph" w:customStyle="1" w:styleId="RecitalNumbering2">
    <w:name w:val="Recital Numbering 2"/>
    <w:basedOn w:val="RecitalNumbering"/>
    <w:pPr>
      <w:numPr>
        <w:ilvl w:val="1"/>
      </w:numPr>
      <w:overflowPunct w:val="0"/>
      <w:autoSpaceDE w:val="0"/>
      <w:autoSpaceDN w:val="0"/>
      <w:textAlignment w:val="baseline"/>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uiPriority w:val="99"/>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kern w:val="28"/>
      <w:sz w:val="22"/>
      <w:lang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kern w:val="28"/>
      <w:lang w:eastAsia="zh-CN"/>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4"/>
      </w:numPr>
      <w:jc w:val="center"/>
      <w:outlineLvl w:val="0"/>
    </w:pPr>
    <w:rPr>
      <w:b/>
      <w:caps/>
    </w:rPr>
  </w:style>
  <w:style w:type="paragraph" w:customStyle="1" w:styleId="RecitalNumbering">
    <w:name w:val="Recital Numbering"/>
    <w:basedOn w:val="HouseStyleBase"/>
    <w:pPr>
      <w:numPr>
        <w:numId w:val="7"/>
      </w:numPr>
      <w:outlineLvl w:val="0"/>
    </w:pPr>
  </w:style>
  <w:style w:type="paragraph" w:customStyle="1" w:styleId="DefinitionNumbering1">
    <w:name w:val="Definition Numbering 1"/>
    <w:basedOn w:val="HouseStyleBase"/>
    <w:pPr>
      <w:numPr>
        <w:ilvl w:val="2"/>
        <w:numId w:val="5"/>
      </w:numPr>
      <w:outlineLvl w:val="0"/>
    </w:p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6"/>
      </w:numPr>
      <w:jc w:val="center"/>
      <w:outlineLvl w:val="1"/>
    </w:pPr>
    <w:rPr>
      <w:b/>
    </w:rPr>
  </w:style>
  <w:style w:type="paragraph" w:customStyle="1" w:styleId="RecitalNumbering3">
    <w:name w:val="Recital Numbering 3"/>
    <w:basedOn w:val="HouseStyleBase"/>
    <w:pPr>
      <w:numPr>
        <w:ilvl w:val="2"/>
        <w:numId w:val="7"/>
      </w:numPr>
      <w:overflowPunct w:val="0"/>
      <w:autoSpaceDE w:val="0"/>
      <w:autoSpaceDN w:val="0"/>
      <w:textAlignment w:val="baseline"/>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kern w:val="28"/>
      <w:sz w:val="22"/>
      <w:lang w:eastAsia="zh-CN"/>
    </w:rPr>
  </w:style>
  <w:style w:type="character" w:customStyle="1" w:styleId="BodyTextIndentChar">
    <w:name w:val="Body Text Indent Char"/>
    <w:link w:val="BodyTextIndent"/>
    <w:rPr>
      <w:rFonts w:eastAsia="STZhongsong"/>
      <w:kern w:val="28"/>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paragraph" w:customStyle="1" w:styleId="ScheduleL1">
    <w:name w:val="Schedule L1"/>
    <w:basedOn w:val="HouseStyleBase"/>
    <w:pPr>
      <w:numPr>
        <w:numId w:val="3"/>
      </w:numPr>
      <w:outlineLvl w:val="0"/>
    </w:pPr>
  </w:style>
  <w:style w:type="paragraph" w:customStyle="1" w:styleId="ScheduleL2">
    <w:name w:val="Schedule L2"/>
    <w:basedOn w:val="HouseStyleBase"/>
    <w:pPr>
      <w:numPr>
        <w:ilvl w:val="1"/>
        <w:numId w:val="3"/>
      </w:numPr>
      <w:outlineLvl w:val="1"/>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kern w:val="28"/>
      <w:sz w:val="22"/>
      <w:lang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6"/>
      </w:numPr>
      <w:jc w:val="center"/>
      <w:outlineLvl w:val="2"/>
    </w:pPr>
    <w:rPr>
      <w:b/>
    </w:rPr>
  </w:style>
  <w:style w:type="paragraph" w:customStyle="1" w:styleId="BodyTextIndent9">
    <w:name w:val="Body Text Indent 9"/>
    <w:basedOn w:val="HouseStyleBase"/>
    <w:pPr>
      <w:ind w:left="5760"/>
    </w:pPr>
  </w:style>
  <w:style w:type="paragraph" w:customStyle="1" w:styleId="Table-followingparagraph">
    <w:name w:val="Table - following paragraph"/>
    <w:basedOn w:val="HouseStyleBase"/>
    <w:next w:val="MarginText"/>
    <w:pPr>
      <w:spacing w:after="0"/>
    </w:pPr>
    <w:rPr>
      <w:kern w:val="0"/>
    </w:rPr>
  </w:style>
  <w:style w:type="paragraph" w:customStyle="1" w:styleId="Table-Text">
    <w:name w:val="Table - Text"/>
    <w:basedOn w:val="HouseStyleBase"/>
    <w:pPr>
      <w:spacing w:before="120" w:after="120"/>
      <w:jc w:val="left"/>
    </w:pPr>
    <w:rPr>
      <w:kern w:val="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numPr>
        <w:numId w:val="0"/>
      </w:numPr>
      <w:adjustRightInd/>
      <w:spacing w:after="120"/>
      <w:ind w:left="283" w:firstLine="210"/>
      <w:jc w:val="left"/>
    </w:pPr>
    <w:rPr>
      <w:rFonts w:eastAsia="SimSun"/>
      <w:kern w:val="0"/>
      <w:szCs w:val="24"/>
    </w:rPr>
  </w:style>
  <w:style w:type="character" w:customStyle="1" w:styleId="BodyTextFirstIndent2Char">
    <w:name w:val="Body Text First Indent 2 Char"/>
    <w:link w:val="BodyTextFirstIndent2"/>
    <w:rPr>
      <w:rFonts w:eastAsia="SimSun"/>
      <w:kern w:val="28"/>
      <w:sz w:val="22"/>
      <w:szCs w:val="24"/>
      <w:lang w:eastAsia="zh-CN"/>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eastAsia="zh-CN"/>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eastAsia="zh-CN"/>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2">
    <w:name w:val="List Bullet 2"/>
    <w:basedOn w:val="Normal"/>
    <w:pPr>
      <w:numPr>
        <w:numId w:val="8"/>
      </w:numPr>
      <w:contextualSpacing/>
    </w:pPr>
  </w:style>
  <w:style w:type="paragraph" w:styleId="ListBullet3">
    <w:name w:val="List Bullet 3"/>
    <w:basedOn w:val="Normal"/>
    <w:pPr>
      <w:numPr>
        <w:numId w:val="9"/>
      </w:numPr>
      <w:contextualSpacing/>
    </w:pPr>
  </w:style>
  <w:style w:type="paragraph" w:styleId="ListBullet4">
    <w:name w:val="List Bullet 4"/>
    <w:basedOn w:val="Normal"/>
    <w:pPr>
      <w:numPr>
        <w:numId w:val="10"/>
      </w:numPr>
      <w:contextualSpacing/>
    </w:pPr>
  </w:style>
  <w:style w:type="paragraph" w:styleId="ListBullet5">
    <w:name w:val="List Bullet 5"/>
    <w:basedOn w:val="Normal"/>
    <w:pPr>
      <w:numPr>
        <w:numId w:val="11"/>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2"/>
      </w:numPr>
      <w:contextualSpacing/>
    </w:pPr>
  </w:style>
  <w:style w:type="paragraph" w:styleId="ListNumber2">
    <w:name w:val="List Number 2"/>
    <w:basedOn w:val="Normal"/>
    <w:pPr>
      <w:numPr>
        <w:numId w:val="13"/>
      </w:numPr>
      <w:contextualSpacing/>
    </w:pPr>
  </w:style>
  <w:style w:type="paragraph" w:styleId="ListNumber3">
    <w:name w:val="List Number 3"/>
    <w:basedOn w:val="Normal"/>
    <w:pPr>
      <w:numPr>
        <w:numId w:val="14"/>
      </w:numPr>
      <w:contextualSpacing/>
    </w:pPr>
  </w:style>
  <w:style w:type="paragraph" w:styleId="ListNumber4">
    <w:name w:val="List Number 4"/>
    <w:basedOn w:val="Normal"/>
    <w:pPr>
      <w:numPr>
        <w:numId w:val="15"/>
      </w:numPr>
      <w:contextualSpacing/>
    </w:pPr>
  </w:style>
  <w:style w:type="paragraph" w:styleId="ListNumber5">
    <w:name w:val="List Number 5"/>
    <w:basedOn w:val="Normal"/>
    <w:pPr>
      <w:numPr>
        <w:numId w:val="16"/>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link w:val="MacroText"/>
    <w:rPr>
      <w:rFonts w:ascii="Courier New" w:eastAsia="SimSun" w:hAnsi="Courier New" w:cs="Courier New"/>
      <w:lang w:eastAsia="zh-CN"/>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styleId="NoSpacing">
    <w:name w:val="No Spacing"/>
    <w:uiPriority w:val="1"/>
    <w:qFormat/>
    <w:rPr>
      <w:rFonts w:eastAsia="SimSun"/>
      <w:sz w:val="22"/>
      <w:szCs w:val="24"/>
      <w:lang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eastAsia="zh-CN"/>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eastAsia="SimSun" w:hAnsi="Courier New" w:cs="Courier New"/>
      <w:lang w:eastAsia="zh-CN"/>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styleId="TOCHeading">
    <w:name w:val="TOC Heading"/>
    <w:basedOn w:val="Heading1"/>
    <w:next w:val="Normal"/>
    <w:uiPriority w:val="39"/>
    <w:qFormat/>
    <w:pPr>
      <w:numPr>
        <w:numId w:val="0"/>
      </w:numPr>
      <w:adjustRightInd/>
      <w:spacing w:before="240" w:after="60"/>
      <w:jc w:val="left"/>
      <w:outlineLvl w:val="9"/>
    </w:pPr>
    <w:rPr>
      <w:rFonts w:ascii="Cambria" w:eastAsia="Times New Roman" w:hAnsi="Cambria"/>
      <w:bCs/>
      <w:caps/>
      <w:kern w:val="32"/>
      <w:sz w:val="32"/>
      <w:szCs w:val="32"/>
    </w:rPr>
  </w:style>
  <w:style w:type="paragraph" w:customStyle="1" w:styleId="Definitions">
    <w:name w:val="Definitions"/>
    <w:basedOn w:val="Normal"/>
    <w:rsid w:val="007E23AC"/>
    <w:pPr>
      <w:spacing w:before="240"/>
      <w:jc w:val="both"/>
      <w:textAlignment w:val="baseline"/>
    </w:pPr>
    <w:rPr>
      <w:rFonts w:eastAsia="Times New Roman"/>
      <w:color w:val="000000"/>
      <w:spacing w:val="-3"/>
      <w:sz w:val="20"/>
      <w:szCs w:val="20"/>
      <w:lang w:val="en-US" w:eastAsia="en-US"/>
    </w:rPr>
  </w:style>
  <w:style w:type="paragraph" w:customStyle="1" w:styleId="EFETLevel1">
    <w:name w:val="EFET Level 1"/>
    <w:basedOn w:val="Normal"/>
    <w:rsid w:val="00421C1E"/>
    <w:pPr>
      <w:numPr>
        <w:numId w:val="20"/>
      </w:numPr>
      <w:spacing w:before="300"/>
      <w:ind w:left="360"/>
      <w:jc w:val="center"/>
      <w:textAlignment w:val="baseline"/>
    </w:pPr>
    <w:rPr>
      <w:rFonts w:eastAsia="Bookman Old Style"/>
      <w:color w:val="000000"/>
      <w:spacing w:val="8"/>
      <w:sz w:val="20"/>
      <w:szCs w:val="20"/>
      <w:u w:val="single"/>
      <w:lang w:eastAsia="en-US"/>
    </w:rPr>
  </w:style>
  <w:style w:type="paragraph" w:customStyle="1" w:styleId="EFETLevel2">
    <w:name w:val="EFET Level 2"/>
    <w:basedOn w:val="EFETLevel1"/>
    <w:rsid w:val="00421C1E"/>
    <w:pPr>
      <w:numPr>
        <w:ilvl w:val="1"/>
      </w:numPr>
      <w:ind w:left="0" w:firstLine="0"/>
      <w:jc w:val="both"/>
    </w:pPr>
    <w:rPr>
      <w:spacing w:val="0"/>
      <w:u w:val="none"/>
    </w:rPr>
  </w:style>
  <w:style w:type="paragraph" w:customStyle="1" w:styleId="EFETLevel3">
    <w:name w:val="EFET Level 3"/>
    <w:basedOn w:val="EFETLevel2"/>
    <w:rsid w:val="00421C1E"/>
    <w:pPr>
      <w:numPr>
        <w:ilvl w:val="2"/>
      </w:numPr>
      <w:tabs>
        <w:tab w:val="left" w:pos="1260"/>
      </w:tabs>
    </w:pPr>
    <w:rPr>
      <w:color w:val="auto"/>
    </w:rPr>
  </w:style>
  <w:style w:type="paragraph" w:customStyle="1" w:styleId="EFETLevel4">
    <w:name w:val="EFET Level 4"/>
    <w:basedOn w:val="EFETLevel3"/>
    <w:rsid w:val="00421C1E"/>
    <w:pPr>
      <w:numPr>
        <w:ilvl w:val="3"/>
      </w:numPr>
      <w:tabs>
        <w:tab w:val="clear" w:pos="1260"/>
        <w:tab w:val="left" w:pos="1800"/>
      </w:tabs>
      <w:ind w:left="1800" w:hanging="540"/>
    </w:pPr>
  </w:style>
  <w:style w:type="paragraph" w:customStyle="1" w:styleId="EFETLevel5">
    <w:name w:val="EFET Level 5"/>
    <w:basedOn w:val="EFETLevel4"/>
    <w:rsid w:val="00421C1E"/>
    <w:pPr>
      <w:numPr>
        <w:ilvl w:val="4"/>
      </w:numPr>
      <w:tabs>
        <w:tab w:val="left" w:pos="2340"/>
      </w:tabs>
      <w:ind w:left="2340" w:hanging="540"/>
    </w:pPr>
  </w:style>
  <w:style w:type="paragraph" w:customStyle="1" w:styleId="EFETLevel6">
    <w:name w:val="EFET Level 6"/>
    <w:basedOn w:val="EFETLevel5"/>
    <w:rsid w:val="00421C1E"/>
    <w:pPr>
      <w:numPr>
        <w:ilvl w:val="5"/>
      </w:numPr>
      <w:tabs>
        <w:tab w:val="left" w:pos="2880"/>
      </w:tabs>
      <w:ind w:left="2880" w:hanging="540"/>
    </w:pPr>
  </w:style>
  <w:style w:type="character" w:styleId="UnresolvedMention">
    <w:name w:val="Unresolved Mention"/>
    <w:uiPriority w:val="99"/>
    <w:semiHidden/>
    <w:unhideWhenUsed/>
    <w:rsid w:val="0029678F"/>
    <w:rPr>
      <w:color w:val="605E5C"/>
      <w:shd w:val="clear" w:color="auto" w:fill="E1DFDD"/>
    </w:rPr>
  </w:style>
  <w:style w:type="paragraph" w:styleId="Revision">
    <w:name w:val="Revision"/>
    <w:hidden/>
    <w:uiPriority w:val="99"/>
    <w:semiHidden/>
    <w:rsid w:val="00F26C21"/>
    <w:rPr>
      <w:rFonts w:eastAsia="SimSun"/>
      <w:sz w:val="22"/>
      <w:szCs w:val="24"/>
      <w:lang w:eastAsia="zh-CN"/>
    </w:rPr>
  </w:style>
  <w:style w:type="character" w:customStyle="1" w:styleId="Heading2Char">
    <w:name w:val="Heading 2 Char"/>
    <w:link w:val="Heading2"/>
    <w:rsid w:val="00CE3BD7"/>
    <w:rPr>
      <w:rFonts w:eastAsia="STZhongsong"/>
      <w:b/>
      <w:kern w:val="28"/>
      <w:lang w:eastAsia="zh-CN"/>
    </w:rPr>
  </w:style>
  <w:style w:type="character" w:customStyle="1" w:styleId="Heading3Char">
    <w:name w:val="Heading 3 Char"/>
    <w:link w:val="Heading3"/>
    <w:rsid w:val="00CE3BD7"/>
    <w:rPr>
      <w:rFonts w:eastAsia="STZhongsong"/>
      <w:kern w:val="28"/>
      <w:lang w:eastAsia="zh-CN"/>
    </w:rPr>
  </w:style>
  <w:style w:type="character" w:customStyle="1" w:styleId="Heading4Char">
    <w:name w:val="Heading 4 Char"/>
    <w:link w:val="Heading4"/>
    <w:rsid w:val="00CE3BD7"/>
    <w:rPr>
      <w:rFonts w:eastAsia="STZhongsong"/>
      <w:kern w:val="28"/>
      <w:lang w:eastAsia="zh-CN"/>
    </w:rPr>
  </w:style>
  <w:style w:type="character" w:customStyle="1" w:styleId="Heading5Char">
    <w:name w:val="Heading 5 Char"/>
    <w:link w:val="Heading5"/>
    <w:rsid w:val="00CE3BD7"/>
    <w:rPr>
      <w:rFonts w:eastAsia="STZhongsong"/>
      <w:kern w:val="28"/>
      <w:lang w:eastAsia="zh-CN"/>
    </w:rPr>
  </w:style>
  <w:style w:type="numbering" w:customStyle="1" w:styleId="CurrentList1">
    <w:name w:val="Current List1"/>
    <w:uiPriority w:val="99"/>
    <w:rsid w:val="00BD06D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360">
      <w:bodyDiv w:val="1"/>
      <w:marLeft w:val="0"/>
      <w:marRight w:val="0"/>
      <w:marTop w:val="0"/>
      <w:marBottom w:val="0"/>
      <w:divBdr>
        <w:top w:val="none" w:sz="0" w:space="0" w:color="auto"/>
        <w:left w:val="none" w:sz="0" w:space="0" w:color="auto"/>
        <w:bottom w:val="none" w:sz="0" w:space="0" w:color="auto"/>
        <w:right w:val="none" w:sz="0" w:space="0" w:color="auto"/>
      </w:divBdr>
    </w:div>
    <w:div w:id="556355623">
      <w:bodyDiv w:val="1"/>
      <w:marLeft w:val="0"/>
      <w:marRight w:val="0"/>
      <w:marTop w:val="0"/>
      <w:marBottom w:val="0"/>
      <w:divBdr>
        <w:top w:val="none" w:sz="0" w:space="0" w:color="auto"/>
        <w:left w:val="none" w:sz="0" w:space="0" w:color="auto"/>
        <w:bottom w:val="none" w:sz="0" w:space="0" w:color="auto"/>
        <w:right w:val="none" w:sz="0" w:space="0" w:color="auto"/>
      </w:divBdr>
      <w:divsChild>
        <w:div w:id="1520504530">
          <w:marLeft w:val="0"/>
          <w:marRight w:val="0"/>
          <w:marTop w:val="0"/>
          <w:marBottom w:val="0"/>
          <w:divBdr>
            <w:top w:val="none" w:sz="0" w:space="0" w:color="auto"/>
            <w:left w:val="none" w:sz="0" w:space="0" w:color="auto"/>
            <w:bottom w:val="none" w:sz="0" w:space="0" w:color="auto"/>
            <w:right w:val="none" w:sz="0" w:space="0" w:color="auto"/>
          </w:divBdr>
        </w:div>
      </w:divsChild>
    </w:div>
    <w:div w:id="607080630">
      <w:bodyDiv w:val="1"/>
      <w:marLeft w:val="0"/>
      <w:marRight w:val="0"/>
      <w:marTop w:val="0"/>
      <w:marBottom w:val="0"/>
      <w:divBdr>
        <w:top w:val="none" w:sz="0" w:space="0" w:color="auto"/>
        <w:left w:val="none" w:sz="0" w:space="0" w:color="auto"/>
        <w:bottom w:val="none" w:sz="0" w:space="0" w:color="auto"/>
        <w:right w:val="none" w:sz="0" w:space="0" w:color="auto"/>
      </w:divBdr>
      <w:divsChild>
        <w:div w:id="1521357777">
          <w:marLeft w:val="0"/>
          <w:marRight w:val="0"/>
          <w:marTop w:val="0"/>
          <w:marBottom w:val="0"/>
          <w:divBdr>
            <w:top w:val="none" w:sz="0" w:space="0" w:color="auto"/>
            <w:left w:val="none" w:sz="0" w:space="0" w:color="auto"/>
            <w:bottom w:val="none" w:sz="0" w:space="0" w:color="auto"/>
            <w:right w:val="none" w:sz="0" w:space="0" w:color="auto"/>
          </w:divBdr>
        </w:div>
        <w:div w:id="1461070288">
          <w:marLeft w:val="0"/>
          <w:marRight w:val="0"/>
          <w:marTop w:val="0"/>
          <w:marBottom w:val="0"/>
          <w:divBdr>
            <w:top w:val="none" w:sz="0" w:space="0" w:color="auto"/>
            <w:left w:val="none" w:sz="0" w:space="0" w:color="auto"/>
            <w:bottom w:val="none" w:sz="0" w:space="0" w:color="auto"/>
            <w:right w:val="none" w:sz="0" w:space="0" w:color="auto"/>
          </w:divBdr>
        </w:div>
      </w:divsChild>
    </w:div>
    <w:div w:id="968317173">
      <w:bodyDiv w:val="1"/>
      <w:marLeft w:val="0"/>
      <w:marRight w:val="0"/>
      <w:marTop w:val="0"/>
      <w:marBottom w:val="0"/>
      <w:divBdr>
        <w:top w:val="none" w:sz="0" w:space="0" w:color="auto"/>
        <w:left w:val="none" w:sz="0" w:space="0" w:color="auto"/>
        <w:bottom w:val="none" w:sz="0" w:space="0" w:color="auto"/>
        <w:right w:val="none" w:sz="0" w:space="0" w:color="auto"/>
      </w:divBdr>
    </w:div>
    <w:div w:id="1298534789">
      <w:bodyDiv w:val="1"/>
      <w:marLeft w:val="0"/>
      <w:marRight w:val="0"/>
      <w:marTop w:val="0"/>
      <w:marBottom w:val="0"/>
      <w:divBdr>
        <w:top w:val="none" w:sz="0" w:space="0" w:color="auto"/>
        <w:left w:val="none" w:sz="0" w:space="0" w:color="auto"/>
        <w:bottom w:val="none" w:sz="0" w:space="0" w:color="auto"/>
        <w:right w:val="none" w:sz="0" w:space="0" w:color="auto"/>
      </w:divBdr>
      <w:divsChild>
        <w:div w:id="21434268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 A T M A T T E R S ! 6 5 0 2 4 2 3 . 1 < / d o c u m e n t i d >  
     < s e n d e r i d > E I G N E R V < / s e n d e r i d >  
     < s e n d e r e m a i l > V A L E N T I N A . E I G N E R @ D L A P I P E R . C O M < / s e n d e r e m a i l >  
     < l a s t m o d i f i e d > 2 0 2 3 - 0 7 - 0 3 T 1 4 : 5 9 : 0 0 . 0 0 0 0 0 0 0 + 0 2 : 0 0 < / l a s t m o d i f i e d >  
     < d a t a b a s e > A T M A T T E R S < / d a t a b a s e >  
 < / p r o p e r t i e s > 
</file>

<file path=customXml/itemProps1.xml><?xml version="1.0" encoding="utf-8"?>
<ds:datastoreItem xmlns:ds="http://schemas.openxmlformats.org/officeDocument/2006/customXml" ds:itemID="{28A37EB6-E29F-45A1-90B6-36DA14FBC258}">
  <ds:schemaRefs>
    <ds:schemaRef ds:uri="http://schemas.openxmlformats.org/officeDocument/2006/bibliography"/>
  </ds:schemaRefs>
</ds:datastoreItem>
</file>

<file path=customXml/itemProps2.xml><?xml version="1.0" encoding="utf-8"?>
<ds:datastoreItem xmlns:ds="http://schemas.openxmlformats.org/officeDocument/2006/customXml" ds:itemID="{278C6312-AA52-454B-9A3C-31AE5558E22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4597</Words>
  <Characters>25975</Characters>
  <Application>Microsoft Office Word</Application>
  <DocSecurity>0</DocSecurity>
  <Lines>666</Lines>
  <Paragraphs>407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30165</CharactersWithSpaces>
  <SharedDoc>false</SharedDoc>
  <HLinks>
    <vt:vector size="132" baseType="variant">
      <vt:variant>
        <vt:i4>1310772</vt:i4>
      </vt:variant>
      <vt:variant>
        <vt:i4>128</vt:i4>
      </vt:variant>
      <vt:variant>
        <vt:i4>0</vt:i4>
      </vt:variant>
      <vt:variant>
        <vt:i4>5</vt:i4>
      </vt:variant>
      <vt:variant>
        <vt:lpwstr/>
      </vt:variant>
      <vt:variant>
        <vt:lpwstr>_Toc32526043</vt:lpwstr>
      </vt:variant>
      <vt:variant>
        <vt:i4>1376308</vt:i4>
      </vt:variant>
      <vt:variant>
        <vt:i4>122</vt:i4>
      </vt:variant>
      <vt:variant>
        <vt:i4>0</vt:i4>
      </vt:variant>
      <vt:variant>
        <vt:i4>5</vt:i4>
      </vt:variant>
      <vt:variant>
        <vt:lpwstr/>
      </vt:variant>
      <vt:variant>
        <vt:lpwstr>_Toc32526042</vt:lpwstr>
      </vt:variant>
      <vt:variant>
        <vt:i4>1441844</vt:i4>
      </vt:variant>
      <vt:variant>
        <vt:i4>116</vt:i4>
      </vt:variant>
      <vt:variant>
        <vt:i4>0</vt:i4>
      </vt:variant>
      <vt:variant>
        <vt:i4>5</vt:i4>
      </vt:variant>
      <vt:variant>
        <vt:lpwstr/>
      </vt:variant>
      <vt:variant>
        <vt:lpwstr>_Toc32526041</vt:lpwstr>
      </vt:variant>
      <vt:variant>
        <vt:i4>1507380</vt:i4>
      </vt:variant>
      <vt:variant>
        <vt:i4>110</vt:i4>
      </vt:variant>
      <vt:variant>
        <vt:i4>0</vt:i4>
      </vt:variant>
      <vt:variant>
        <vt:i4>5</vt:i4>
      </vt:variant>
      <vt:variant>
        <vt:lpwstr/>
      </vt:variant>
      <vt:variant>
        <vt:lpwstr>_Toc32526040</vt:lpwstr>
      </vt:variant>
      <vt:variant>
        <vt:i4>1966131</vt:i4>
      </vt:variant>
      <vt:variant>
        <vt:i4>104</vt:i4>
      </vt:variant>
      <vt:variant>
        <vt:i4>0</vt:i4>
      </vt:variant>
      <vt:variant>
        <vt:i4>5</vt:i4>
      </vt:variant>
      <vt:variant>
        <vt:lpwstr/>
      </vt:variant>
      <vt:variant>
        <vt:lpwstr>_Toc32526039</vt:lpwstr>
      </vt:variant>
      <vt:variant>
        <vt:i4>2031667</vt:i4>
      </vt:variant>
      <vt:variant>
        <vt:i4>98</vt:i4>
      </vt:variant>
      <vt:variant>
        <vt:i4>0</vt:i4>
      </vt:variant>
      <vt:variant>
        <vt:i4>5</vt:i4>
      </vt:variant>
      <vt:variant>
        <vt:lpwstr/>
      </vt:variant>
      <vt:variant>
        <vt:lpwstr>_Toc32526038</vt:lpwstr>
      </vt:variant>
      <vt:variant>
        <vt:i4>1048627</vt:i4>
      </vt:variant>
      <vt:variant>
        <vt:i4>92</vt:i4>
      </vt:variant>
      <vt:variant>
        <vt:i4>0</vt:i4>
      </vt:variant>
      <vt:variant>
        <vt:i4>5</vt:i4>
      </vt:variant>
      <vt:variant>
        <vt:lpwstr/>
      </vt:variant>
      <vt:variant>
        <vt:lpwstr>_Toc32526037</vt:lpwstr>
      </vt:variant>
      <vt:variant>
        <vt:i4>1114163</vt:i4>
      </vt:variant>
      <vt:variant>
        <vt:i4>86</vt:i4>
      </vt:variant>
      <vt:variant>
        <vt:i4>0</vt:i4>
      </vt:variant>
      <vt:variant>
        <vt:i4>5</vt:i4>
      </vt:variant>
      <vt:variant>
        <vt:lpwstr/>
      </vt:variant>
      <vt:variant>
        <vt:lpwstr>_Toc32526036</vt:lpwstr>
      </vt:variant>
      <vt:variant>
        <vt:i4>1179699</vt:i4>
      </vt:variant>
      <vt:variant>
        <vt:i4>80</vt:i4>
      </vt:variant>
      <vt:variant>
        <vt:i4>0</vt:i4>
      </vt:variant>
      <vt:variant>
        <vt:i4>5</vt:i4>
      </vt:variant>
      <vt:variant>
        <vt:lpwstr/>
      </vt:variant>
      <vt:variant>
        <vt:lpwstr>_Toc32526035</vt:lpwstr>
      </vt:variant>
      <vt:variant>
        <vt:i4>1245235</vt:i4>
      </vt:variant>
      <vt:variant>
        <vt:i4>74</vt:i4>
      </vt:variant>
      <vt:variant>
        <vt:i4>0</vt:i4>
      </vt:variant>
      <vt:variant>
        <vt:i4>5</vt:i4>
      </vt:variant>
      <vt:variant>
        <vt:lpwstr/>
      </vt:variant>
      <vt:variant>
        <vt:lpwstr>_Toc32526034</vt:lpwstr>
      </vt:variant>
      <vt:variant>
        <vt:i4>1310771</vt:i4>
      </vt:variant>
      <vt:variant>
        <vt:i4>68</vt:i4>
      </vt:variant>
      <vt:variant>
        <vt:i4>0</vt:i4>
      </vt:variant>
      <vt:variant>
        <vt:i4>5</vt:i4>
      </vt:variant>
      <vt:variant>
        <vt:lpwstr/>
      </vt:variant>
      <vt:variant>
        <vt:lpwstr>_Toc32526033</vt:lpwstr>
      </vt:variant>
      <vt:variant>
        <vt:i4>1376307</vt:i4>
      </vt:variant>
      <vt:variant>
        <vt:i4>62</vt:i4>
      </vt:variant>
      <vt:variant>
        <vt:i4>0</vt:i4>
      </vt:variant>
      <vt:variant>
        <vt:i4>5</vt:i4>
      </vt:variant>
      <vt:variant>
        <vt:lpwstr/>
      </vt:variant>
      <vt:variant>
        <vt:lpwstr>_Toc32526032</vt:lpwstr>
      </vt:variant>
      <vt:variant>
        <vt:i4>1441843</vt:i4>
      </vt:variant>
      <vt:variant>
        <vt:i4>56</vt:i4>
      </vt:variant>
      <vt:variant>
        <vt:i4>0</vt:i4>
      </vt:variant>
      <vt:variant>
        <vt:i4>5</vt:i4>
      </vt:variant>
      <vt:variant>
        <vt:lpwstr/>
      </vt:variant>
      <vt:variant>
        <vt:lpwstr>_Toc32526031</vt:lpwstr>
      </vt:variant>
      <vt:variant>
        <vt:i4>1507379</vt:i4>
      </vt:variant>
      <vt:variant>
        <vt:i4>50</vt:i4>
      </vt:variant>
      <vt:variant>
        <vt:i4>0</vt:i4>
      </vt:variant>
      <vt:variant>
        <vt:i4>5</vt:i4>
      </vt:variant>
      <vt:variant>
        <vt:lpwstr/>
      </vt:variant>
      <vt:variant>
        <vt:lpwstr>_Toc32526030</vt:lpwstr>
      </vt:variant>
      <vt:variant>
        <vt:i4>1966130</vt:i4>
      </vt:variant>
      <vt:variant>
        <vt:i4>44</vt:i4>
      </vt:variant>
      <vt:variant>
        <vt:i4>0</vt:i4>
      </vt:variant>
      <vt:variant>
        <vt:i4>5</vt:i4>
      </vt:variant>
      <vt:variant>
        <vt:lpwstr/>
      </vt:variant>
      <vt:variant>
        <vt:lpwstr>_Toc32526029</vt:lpwstr>
      </vt:variant>
      <vt:variant>
        <vt:i4>2031666</vt:i4>
      </vt:variant>
      <vt:variant>
        <vt:i4>38</vt:i4>
      </vt:variant>
      <vt:variant>
        <vt:i4>0</vt:i4>
      </vt:variant>
      <vt:variant>
        <vt:i4>5</vt:i4>
      </vt:variant>
      <vt:variant>
        <vt:lpwstr/>
      </vt:variant>
      <vt:variant>
        <vt:lpwstr>_Toc32526028</vt:lpwstr>
      </vt:variant>
      <vt:variant>
        <vt:i4>1048626</vt:i4>
      </vt:variant>
      <vt:variant>
        <vt:i4>32</vt:i4>
      </vt:variant>
      <vt:variant>
        <vt:i4>0</vt:i4>
      </vt:variant>
      <vt:variant>
        <vt:i4>5</vt:i4>
      </vt:variant>
      <vt:variant>
        <vt:lpwstr/>
      </vt:variant>
      <vt:variant>
        <vt:lpwstr>_Toc32526027</vt:lpwstr>
      </vt:variant>
      <vt:variant>
        <vt:i4>1114162</vt:i4>
      </vt:variant>
      <vt:variant>
        <vt:i4>26</vt:i4>
      </vt:variant>
      <vt:variant>
        <vt:i4>0</vt:i4>
      </vt:variant>
      <vt:variant>
        <vt:i4>5</vt:i4>
      </vt:variant>
      <vt:variant>
        <vt:lpwstr/>
      </vt:variant>
      <vt:variant>
        <vt:lpwstr>_Toc32526026</vt:lpwstr>
      </vt:variant>
      <vt:variant>
        <vt:i4>1179698</vt:i4>
      </vt:variant>
      <vt:variant>
        <vt:i4>20</vt:i4>
      </vt:variant>
      <vt:variant>
        <vt:i4>0</vt:i4>
      </vt:variant>
      <vt:variant>
        <vt:i4>5</vt:i4>
      </vt:variant>
      <vt:variant>
        <vt:lpwstr/>
      </vt:variant>
      <vt:variant>
        <vt:lpwstr>_Toc32526025</vt:lpwstr>
      </vt:variant>
      <vt:variant>
        <vt:i4>1245234</vt:i4>
      </vt:variant>
      <vt:variant>
        <vt:i4>14</vt:i4>
      </vt:variant>
      <vt:variant>
        <vt:i4>0</vt:i4>
      </vt:variant>
      <vt:variant>
        <vt:i4>5</vt:i4>
      </vt:variant>
      <vt:variant>
        <vt:lpwstr/>
      </vt:variant>
      <vt:variant>
        <vt:lpwstr>_Toc32526024</vt:lpwstr>
      </vt:variant>
      <vt:variant>
        <vt:i4>1310770</vt:i4>
      </vt:variant>
      <vt:variant>
        <vt:i4>8</vt:i4>
      </vt:variant>
      <vt:variant>
        <vt:i4>0</vt:i4>
      </vt:variant>
      <vt:variant>
        <vt:i4>5</vt:i4>
      </vt:variant>
      <vt:variant>
        <vt:lpwstr/>
      </vt:variant>
      <vt:variant>
        <vt:lpwstr>_Toc32526023</vt:lpwstr>
      </vt:variant>
      <vt:variant>
        <vt:i4>1376306</vt:i4>
      </vt:variant>
      <vt:variant>
        <vt:i4>2</vt:i4>
      </vt:variant>
      <vt:variant>
        <vt:i4>0</vt:i4>
      </vt:variant>
      <vt:variant>
        <vt:i4>5</vt:i4>
      </vt:variant>
      <vt:variant>
        <vt:lpwstr/>
      </vt:variant>
      <vt:variant>
        <vt:lpwstr>_Toc32526022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Wallace-Müller, Kenneth</dc:creator>
  <cp:keywords/>
  <dc:description/>
  <cp:lastModifiedBy>DLA Piper</cp:lastModifiedBy>
  <cp:revision>9</cp:revision>
  <cp:lastPrinted>2023-07-03T18:12:00Z</cp:lastPrinted>
  <dcterms:created xsi:type="dcterms:W3CDTF">2023-07-03T18:37:00Z</dcterms:created>
  <dcterms:modified xsi:type="dcterms:W3CDTF">2023-07-03T20:48:00Z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ate">
    <vt:lpwstr/>
  </property>
  <property fmtid="{D5CDD505-2E9C-101B-9397-08002B2CF9AE}" pid="3" name="Plato EditorId">
    <vt:lpwstr>a03583d0-3166-42d4-a7f0-1c496a08111a</vt:lpwstr>
  </property>
  <property fmtid="{D5CDD505-2E9C-101B-9397-08002B2CF9AE}" pid="4" name="Plato Jurisdiction">
    <vt:lpwstr>AUT</vt:lpwstr>
  </property>
  <property fmtid="{D5CDD505-2E9C-101B-9397-08002B2CF9AE}" pid="5" name="Plato Language">
    <vt:lpwstr>en_GB</vt:lpwstr>
  </property>
  <property fmtid="{D5CDD505-2E9C-101B-9397-08002B2CF9AE}" pid="6" name="Plato Office">
    <vt:lpwstr>VIENNA</vt:lpwstr>
  </property>
  <property fmtid="{D5CDD505-2E9C-101B-9397-08002B2CF9AE}" pid="7" name="Plato Template">
    <vt:lpwstr>standard-finance-agreement-and-lease</vt:lpwstr>
  </property>
  <property fmtid="{D5CDD505-2E9C-101B-9397-08002B2CF9AE}" pid="8" name="Plato Template Version">
    <vt:lpwstr>1.1</vt:lpwstr>
  </property>
</Properties>
</file>